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13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12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CURRENT REPORT</w:t>
      </w:r>
    </w:p>
    <w:p>
      <w:pPr>
        <w:jc w:val="center"/>
        <w:spacing w:after="0"/>
        <w:rPr>
          <w:sz w:val="20"/>
          <w:szCs w:val="20"/>
          <w:color w:val="auto"/>
        </w:rPr>
      </w:pPr>
      <w:r>
        <w:rPr>
          <w:rFonts w:ascii="Arial" w:cs="Arial" w:eastAsia="Arial" w:hAnsi="Arial"/>
          <w:sz w:val="20"/>
          <w:szCs w:val="20"/>
          <w:b w:val="1"/>
          <w:bCs w:val="1"/>
          <w:color w:val="auto"/>
        </w:rPr>
        <w:t>Pursuant to Section 13 or 15(d) of The Securities Exchange Act of 1934</w:t>
      </w:r>
    </w:p>
    <w:p>
      <w:pPr>
        <w:spacing w:after="0" w:line="12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Date of Report (Date of earliest event reported): October 27,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2739390</wp:posOffset>
            </wp:positionH>
            <wp:positionV relativeFrom="paragraph">
              <wp:posOffset>83185</wp:posOffset>
            </wp:positionV>
            <wp:extent cx="1663065" cy="4114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63065" cy="4114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EXPAND ENERGY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47625</wp:posOffset>
            </wp:positionH>
            <wp:positionV relativeFrom="paragraph">
              <wp:posOffset>51435</wp:posOffset>
            </wp:positionV>
            <wp:extent cx="70465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46595" cy="8890"/>
                    </a:xfrm>
                    <a:prstGeom prst="rect">
                      <a:avLst/>
                    </a:prstGeom>
                    <a:noFill/>
                  </pic:spPr>
                </pic:pic>
              </a:graphicData>
            </a:graphic>
          </wp:anchor>
        </w:drawing>
      </w:r>
    </w:p>
    <w:p>
      <w:pPr>
        <w:spacing w:after="0" w:line="87" w:lineRule="exact"/>
        <w:rPr>
          <w:sz w:val="24"/>
          <w:szCs w:val="24"/>
          <w:color w:val="auto"/>
        </w:rPr>
      </w:pPr>
    </w:p>
    <w:tbl>
      <w:tblPr>
        <w:tblLayout w:type="fixed"/>
        <w:tblInd w:w="80" w:type="dxa"/>
        <w:tblCellMar>
          <w:top w:w="0" w:type="dxa"/>
          <w:left w:w="0" w:type="dxa"/>
          <w:bottom w:w="0" w:type="dxa"/>
          <w:right w:w="0" w:type="dxa"/>
        </w:tblCellMar>
      </w:tblPr>
      <w:tr>
        <w:trPr>
          <w:trHeight w:val="215"/>
        </w:trPr>
        <w:tc>
          <w:tcPr>
            <w:tcW w:w="3300" w:type="dxa"/>
            <w:vAlign w:val="bottom"/>
          </w:tcPr>
          <w:p>
            <w:pPr>
              <w:spacing w:after="0"/>
              <w:rPr>
                <w:sz w:val="18"/>
                <w:szCs w:val="18"/>
                <w:color w:val="auto"/>
              </w:rPr>
            </w:pPr>
          </w:p>
        </w:tc>
        <w:tc>
          <w:tcPr>
            <w:tcW w:w="4160" w:type="dxa"/>
            <w:vAlign w:val="bottom"/>
            <w:gridSpan w:val="5"/>
          </w:tcPr>
          <w:p>
            <w:pPr>
              <w:ind w:left="380"/>
              <w:spacing w:after="0"/>
              <w:rPr>
                <w:sz w:val="20"/>
                <w:szCs w:val="20"/>
                <w:color w:val="auto"/>
              </w:rPr>
            </w:pPr>
            <w:r>
              <w:rPr>
                <w:rFonts w:ascii="Arial" w:cs="Arial" w:eastAsia="Arial" w:hAnsi="Arial"/>
                <w:sz w:val="16"/>
                <w:szCs w:val="16"/>
                <w:color w:val="auto"/>
              </w:rPr>
              <w:t>(Exact name of registrant as specified in its Charter)</w:t>
            </w:r>
          </w:p>
        </w:tc>
        <w:tc>
          <w:tcPr>
            <w:tcW w:w="3640" w:type="dxa"/>
            <w:vAlign w:val="bottom"/>
          </w:tcPr>
          <w:p>
            <w:pPr>
              <w:spacing w:after="0"/>
              <w:rPr>
                <w:sz w:val="18"/>
                <w:szCs w:val="18"/>
                <w:color w:val="auto"/>
              </w:rPr>
            </w:pPr>
          </w:p>
        </w:tc>
      </w:tr>
      <w:tr>
        <w:trPr>
          <w:trHeight w:val="255"/>
        </w:trPr>
        <w:tc>
          <w:tcPr>
            <w:tcW w:w="3300" w:type="dxa"/>
            <w:vAlign w:val="bottom"/>
            <w:tcBorders>
              <w:bottom w:val="single" w:sz="8" w:color="auto"/>
            </w:tcBorders>
          </w:tcPr>
          <w:p>
            <w:pPr>
              <w:jc w:val="center"/>
              <w:ind w:left="459"/>
              <w:spacing w:after="0"/>
              <w:rPr>
                <w:sz w:val="20"/>
                <w:szCs w:val="20"/>
                <w:color w:val="auto"/>
              </w:rPr>
            </w:pPr>
            <w:r>
              <w:rPr>
                <w:rFonts w:ascii="Arial" w:cs="Arial" w:eastAsia="Arial" w:hAnsi="Arial"/>
                <w:sz w:val="16"/>
                <w:szCs w:val="16"/>
                <w:b w:val="1"/>
                <w:bCs w:val="1"/>
                <w:color w:val="auto"/>
              </w:rPr>
              <w:t>Oklahoma</w:t>
            </w:r>
          </w:p>
        </w:tc>
        <w:tc>
          <w:tcPr>
            <w:tcW w:w="540" w:type="dxa"/>
            <w:vAlign w:val="bottom"/>
            <w:tcBorders>
              <w:bottom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tcPr>
          <w:p>
            <w:pPr>
              <w:jc w:val="right"/>
              <w:ind w:right="1199"/>
              <w:spacing w:after="0"/>
              <w:rPr>
                <w:sz w:val="20"/>
                <w:szCs w:val="20"/>
                <w:color w:val="auto"/>
              </w:rPr>
            </w:pPr>
            <w:r>
              <w:rPr>
                <w:rFonts w:ascii="Arial" w:cs="Arial" w:eastAsia="Arial" w:hAnsi="Arial"/>
                <w:sz w:val="16"/>
                <w:szCs w:val="16"/>
                <w:b w:val="1"/>
                <w:bCs w:val="1"/>
                <w:color w:val="auto"/>
              </w:rPr>
              <w:t>001-13726</w:t>
            </w:r>
          </w:p>
        </w:tc>
        <w:tc>
          <w:tcPr>
            <w:tcW w:w="140" w:type="dxa"/>
            <w:vAlign w:val="bottom"/>
          </w:tcPr>
          <w:p>
            <w:pPr>
              <w:spacing w:after="0"/>
              <w:rPr>
                <w:sz w:val="22"/>
                <w:szCs w:val="22"/>
                <w:color w:val="auto"/>
              </w:rPr>
            </w:pPr>
          </w:p>
        </w:tc>
        <w:tc>
          <w:tcPr>
            <w:tcW w:w="3640" w:type="dxa"/>
            <w:vAlign w:val="bottom"/>
            <w:tcBorders>
              <w:bottom w:val="single" w:sz="8" w:color="auto"/>
            </w:tcBorders>
          </w:tcPr>
          <w:p>
            <w:pPr>
              <w:jc w:val="right"/>
              <w:ind w:right="1319"/>
              <w:spacing w:after="0"/>
              <w:rPr>
                <w:sz w:val="20"/>
                <w:szCs w:val="20"/>
                <w:color w:val="auto"/>
              </w:rPr>
            </w:pPr>
            <w:r>
              <w:rPr>
                <w:rFonts w:ascii="Arial" w:cs="Arial" w:eastAsia="Arial" w:hAnsi="Arial"/>
                <w:sz w:val="16"/>
                <w:szCs w:val="16"/>
                <w:b w:val="1"/>
                <w:bCs w:val="1"/>
                <w:color w:val="auto"/>
              </w:rPr>
              <w:t>73-1395733</w:t>
            </w:r>
          </w:p>
        </w:tc>
      </w:tr>
      <w:tr>
        <w:trPr>
          <w:trHeight w:val="199"/>
        </w:trPr>
        <w:tc>
          <w:tcPr>
            <w:tcW w:w="3300" w:type="dxa"/>
            <w:vAlign w:val="bottom"/>
          </w:tcPr>
          <w:p>
            <w:pPr>
              <w:jc w:val="center"/>
              <w:ind w:left="459"/>
              <w:spacing w:after="0"/>
              <w:rPr>
                <w:sz w:val="20"/>
                <w:szCs w:val="20"/>
                <w:color w:val="auto"/>
              </w:rPr>
            </w:pPr>
            <w:r>
              <w:rPr>
                <w:rFonts w:ascii="Arial" w:cs="Arial" w:eastAsia="Arial" w:hAnsi="Arial"/>
                <w:sz w:val="16"/>
                <w:szCs w:val="16"/>
                <w:color w:val="auto"/>
              </w:rPr>
              <w:t>(State or other jurisdiction of</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60" w:type="dxa"/>
            <w:vAlign w:val="bottom"/>
            <w:gridSpan w:val="3"/>
          </w:tcPr>
          <w:p>
            <w:pPr>
              <w:jc w:val="center"/>
              <w:ind w:right="160"/>
              <w:spacing w:after="0"/>
              <w:rPr>
                <w:sz w:val="20"/>
                <w:szCs w:val="20"/>
                <w:color w:val="auto"/>
              </w:rPr>
            </w:pPr>
            <w:r>
              <w:rPr>
                <w:rFonts w:ascii="Arial" w:cs="Arial" w:eastAsia="Arial" w:hAnsi="Arial"/>
                <w:sz w:val="16"/>
                <w:szCs w:val="16"/>
                <w:color w:val="auto"/>
              </w:rPr>
              <w:t>(Commission File Number)</w:t>
            </w:r>
          </w:p>
        </w:tc>
        <w:tc>
          <w:tcPr>
            <w:tcW w:w="3640" w:type="dxa"/>
            <w:vAlign w:val="bottom"/>
          </w:tcPr>
          <w:p>
            <w:pPr>
              <w:jc w:val="center"/>
              <w:spacing w:after="0"/>
              <w:rPr>
                <w:sz w:val="20"/>
                <w:szCs w:val="20"/>
                <w:color w:val="auto"/>
              </w:rPr>
            </w:pPr>
            <w:r>
              <w:rPr>
                <w:rFonts w:ascii="Arial" w:cs="Arial" w:eastAsia="Arial" w:hAnsi="Arial"/>
                <w:sz w:val="16"/>
                <w:szCs w:val="16"/>
                <w:color w:val="auto"/>
              </w:rPr>
              <w:t>(IRS Employer Identification No.)</w:t>
            </w:r>
          </w:p>
        </w:tc>
      </w:tr>
      <w:tr>
        <w:trPr>
          <w:trHeight w:val="215"/>
        </w:trPr>
        <w:tc>
          <w:tcPr>
            <w:tcW w:w="3300" w:type="dxa"/>
            <w:vAlign w:val="bottom"/>
          </w:tcPr>
          <w:p>
            <w:pPr>
              <w:jc w:val="center"/>
              <w:ind w:left="459"/>
              <w:spacing w:after="0"/>
              <w:rPr>
                <w:sz w:val="20"/>
                <w:szCs w:val="20"/>
                <w:color w:val="auto"/>
              </w:rPr>
            </w:pPr>
            <w:r>
              <w:rPr>
                <w:rFonts w:ascii="Arial" w:cs="Arial" w:eastAsia="Arial" w:hAnsi="Arial"/>
                <w:sz w:val="16"/>
                <w:szCs w:val="16"/>
                <w:color w:val="auto"/>
              </w:rPr>
              <w:t>incorporation)</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40" w:type="dxa"/>
            <w:vAlign w:val="bottom"/>
          </w:tcPr>
          <w:p>
            <w:pPr>
              <w:spacing w:after="0"/>
              <w:rPr>
                <w:sz w:val="18"/>
                <w:szCs w:val="18"/>
                <w:color w:val="auto"/>
              </w:rPr>
            </w:pPr>
          </w:p>
        </w:tc>
      </w:tr>
      <w:tr>
        <w:trPr>
          <w:trHeight w:val="268"/>
        </w:trPr>
        <w:tc>
          <w:tcPr>
            <w:tcW w:w="3300" w:type="dxa"/>
            <w:vAlign w:val="bottom"/>
          </w:tcPr>
          <w:p>
            <w:pPr>
              <w:ind w:left="1240"/>
              <w:spacing w:after="0"/>
              <w:rPr>
                <w:sz w:val="20"/>
                <w:szCs w:val="20"/>
                <w:color w:val="auto"/>
              </w:rPr>
            </w:pPr>
            <w:r>
              <w:rPr>
                <w:rFonts w:ascii="Arial" w:cs="Arial" w:eastAsia="Arial" w:hAnsi="Arial"/>
                <w:sz w:val="16"/>
                <w:szCs w:val="16"/>
                <w:b w:val="1"/>
                <w:bCs w:val="1"/>
                <w:color w:val="auto"/>
              </w:rPr>
              <w:t>10000 Energy Drive</w:t>
            </w:r>
          </w:p>
        </w:tc>
        <w:tc>
          <w:tcPr>
            <w:tcW w:w="5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ind w:left="560"/>
              <w:spacing w:after="0"/>
              <w:rPr>
                <w:sz w:val="20"/>
                <w:szCs w:val="20"/>
                <w:color w:val="auto"/>
              </w:rPr>
            </w:pPr>
            <w:r>
              <w:rPr>
                <w:rFonts w:ascii="Arial" w:cs="Arial" w:eastAsia="Arial" w:hAnsi="Arial"/>
                <w:sz w:val="16"/>
                <w:szCs w:val="16"/>
                <w:b w:val="1"/>
                <w:bCs w:val="1"/>
                <w:color w:val="auto"/>
              </w:rPr>
              <w:t>Spring,</w:t>
            </w:r>
          </w:p>
        </w:tc>
        <w:tc>
          <w:tcPr>
            <w:tcW w:w="2260" w:type="dxa"/>
            <w:vAlign w:val="bottom"/>
            <w:gridSpan w:val="2"/>
          </w:tcPr>
          <w:p>
            <w:pPr>
              <w:ind w:left="1080"/>
              <w:spacing w:after="0"/>
              <w:rPr>
                <w:sz w:val="20"/>
                <w:szCs w:val="20"/>
                <w:color w:val="auto"/>
              </w:rPr>
            </w:pPr>
            <w:r>
              <w:rPr>
                <w:rFonts w:ascii="Arial" w:cs="Arial" w:eastAsia="Arial" w:hAnsi="Arial"/>
                <w:sz w:val="16"/>
                <w:szCs w:val="16"/>
                <w:b w:val="1"/>
                <w:bCs w:val="1"/>
                <w:color w:val="auto"/>
              </w:rPr>
              <w:t>Texas</w:t>
            </w:r>
          </w:p>
        </w:tc>
        <w:tc>
          <w:tcPr>
            <w:tcW w:w="3640" w:type="dxa"/>
            <w:vAlign w:val="bottom"/>
          </w:tcPr>
          <w:p>
            <w:pPr>
              <w:jc w:val="right"/>
              <w:ind w:right="1519"/>
              <w:spacing w:after="0"/>
              <w:rPr>
                <w:sz w:val="20"/>
                <w:szCs w:val="20"/>
                <w:color w:val="auto"/>
              </w:rPr>
            </w:pPr>
            <w:r>
              <w:rPr>
                <w:rFonts w:ascii="Arial" w:cs="Arial" w:eastAsia="Arial" w:hAnsi="Arial"/>
                <w:sz w:val="16"/>
                <w:szCs w:val="16"/>
                <w:b w:val="1"/>
                <w:bCs w:val="1"/>
                <w:color w:val="auto"/>
              </w:rPr>
              <w:t>77389</w:t>
            </w:r>
          </w:p>
        </w:tc>
      </w:tr>
      <w:tr>
        <w:trPr>
          <w:trHeight w:val="225"/>
        </w:trPr>
        <w:tc>
          <w:tcPr>
            <w:tcW w:w="5200" w:type="dxa"/>
            <w:vAlign w:val="bottom"/>
            <w:tcBorders>
              <w:top w:val="single" w:sz="8" w:color="auto"/>
            </w:tcBorders>
            <w:gridSpan w:val="4"/>
          </w:tcPr>
          <w:p>
            <w:pPr>
              <w:ind w:left="2260"/>
              <w:spacing w:after="0"/>
              <w:rPr>
                <w:sz w:val="20"/>
                <w:szCs w:val="20"/>
                <w:color w:val="auto"/>
              </w:rPr>
            </w:pPr>
            <w:r>
              <w:rPr>
                <w:rFonts w:ascii="Arial" w:cs="Arial" w:eastAsia="Arial" w:hAnsi="Arial"/>
                <w:sz w:val="16"/>
                <w:szCs w:val="16"/>
                <w:color w:val="auto"/>
              </w:rPr>
              <w:t>(Address of principal executive offices)</w:t>
            </w:r>
          </w:p>
        </w:tc>
        <w:tc>
          <w:tcPr>
            <w:tcW w:w="21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6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(Zip Code)</w:t>
            </w:r>
          </w:p>
        </w:tc>
      </w:tr>
      <w:tr>
        <w:trPr>
          <w:trHeight w:val="251"/>
        </w:trPr>
        <w:tc>
          <w:tcPr>
            <w:tcW w:w="33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120" w:type="dxa"/>
            <w:vAlign w:val="bottom"/>
          </w:tcPr>
          <w:p>
            <w:pPr>
              <w:jc w:val="right"/>
              <w:ind w:right="839"/>
              <w:spacing w:after="0"/>
              <w:rPr>
                <w:sz w:val="20"/>
                <w:szCs w:val="20"/>
                <w:color w:val="auto"/>
              </w:rPr>
            </w:pPr>
            <w:r>
              <w:rPr>
                <w:rFonts w:ascii="Arial" w:cs="Arial" w:eastAsia="Arial" w:hAnsi="Arial"/>
                <w:sz w:val="16"/>
                <w:szCs w:val="16"/>
                <w:b w:val="1"/>
                <w:bCs w:val="1"/>
                <w:color w:val="auto"/>
              </w:rPr>
              <w:t>(346) 535-0990</w:t>
            </w:r>
          </w:p>
        </w:tc>
        <w:tc>
          <w:tcPr>
            <w:tcW w:w="140" w:type="dxa"/>
            <w:vAlign w:val="bottom"/>
          </w:tcPr>
          <w:p>
            <w:pPr>
              <w:spacing w:after="0"/>
              <w:rPr>
                <w:sz w:val="21"/>
                <w:szCs w:val="21"/>
                <w:color w:val="auto"/>
              </w:rPr>
            </w:pPr>
          </w:p>
        </w:tc>
        <w:tc>
          <w:tcPr>
            <w:tcW w:w="3640" w:type="dxa"/>
            <w:vAlign w:val="bottom"/>
          </w:tcPr>
          <w:p>
            <w:pPr>
              <w:spacing w:after="0"/>
              <w:rPr>
                <w:sz w:val="21"/>
                <w:szCs w:val="2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2585085</wp:posOffset>
            </wp:positionH>
            <wp:positionV relativeFrom="paragraph">
              <wp:posOffset>5080</wp:posOffset>
            </wp:positionV>
            <wp:extent cx="21088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jc w:val="center"/>
        <w:ind w:right="-119"/>
        <w:spacing w:after="0"/>
        <w:rPr>
          <w:sz w:val="20"/>
          <w:szCs w:val="20"/>
          <w:color w:val="auto"/>
        </w:rPr>
      </w:pPr>
      <w:r>
        <w:rPr>
          <w:rFonts w:ascii="Arial" w:cs="Arial" w:eastAsia="Arial" w:hAnsi="Arial"/>
          <w:sz w:val="16"/>
          <w:szCs w:val="16"/>
          <w:color w:val="auto"/>
        </w:rPr>
        <w:t>(Registrant’s telephone number, including area code)</w:t>
      </w:r>
    </w:p>
    <w:p>
      <w:pPr>
        <w:spacing w:after="0" w:line="311" w:lineRule="exact"/>
        <w:rPr>
          <w:sz w:val="24"/>
          <w:szCs w:val="24"/>
          <w:color w:val="auto"/>
        </w:rPr>
      </w:pPr>
    </w:p>
    <w:p>
      <w:pPr>
        <w:spacing w:after="0" w:line="28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8"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20"/>
          <w:szCs w:val="20"/>
          <w:color w:val="auto"/>
        </w:rPr>
      </w:pPr>
      <w:r>
        <w:rPr>
          <w:rFonts w:ascii="Arial" w:cs="Arial" w:eastAsia="Arial" w:hAnsi="Arial"/>
          <w:sz w:val="16"/>
          <w:szCs w:val="16"/>
          <w:color w:val="auto"/>
        </w:rPr>
        <w:t>Written communications pursuant to Rule 425 under the Securities Act (17 CFR 230.425)</w:t>
      </w:r>
    </w:p>
    <w:p>
      <w:pPr>
        <w:spacing w:after="0" w:line="185" w:lineRule="exact"/>
        <w:rPr>
          <w:rFonts w:ascii="MS PGothic" w:cs="MS PGothic" w:eastAsia="MS PGothic" w:hAnsi="MS PGothic"/>
          <w:sz w:val="20"/>
          <w:szCs w:val="20"/>
          <w:color w:val="auto"/>
        </w:rPr>
      </w:pPr>
    </w:p>
    <w:p>
      <w:pPr>
        <w:ind w:left="360" w:hanging="334"/>
        <w:spacing w:after="0"/>
        <w:tabs>
          <w:tab w:leader="none" w:pos="360" w:val="left"/>
        </w:tabs>
        <w:numPr>
          <w:ilvl w:val="0"/>
          <w:numId w:val="1"/>
        </w:numPr>
        <w:rPr>
          <w:rFonts w:ascii="MS PGothic" w:cs="MS PGothic" w:eastAsia="MS PGothic" w:hAnsi="MS PGothic"/>
          <w:sz w:val="20"/>
          <w:szCs w:val="20"/>
          <w:color w:val="auto"/>
        </w:rPr>
      </w:pPr>
      <w:r>
        <w:rPr>
          <w:rFonts w:ascii="Arial" w:cs="Arial" w:eastAsia="Arial" w:hAnsi="Arial"/>
          <w:sz w:val="16"/>
          <w:szCs w:val="16"/>
          <w:color w:val="auto"/>
        </w:rPr>
        <w:t>Soliciting material pursuant to Rule 14a-12 under the Exchange Act (17 CFR 240.14a-12)</w:t>
      </w:r>
    </w:p>
    <w:p>
      <w:pPr>
        <w:spacing w:after="0" w:line="91" w:lineRule="exact"/>
        <w:rPr>
          <w:rFonts w:ascii="MS PGothic" w:cs="MS PGothic" w:eastAsia="MS PGothic" w:hAnsi="MS PGothic"/>
          <w:sz w:val="20"/>
          <w:szCs w:val="20"/>
          <w:color w:val="auto"/>
        </w:rPr>
      </w:pPr>
    </w:p>
    <w:p>
      <w:pPr>
        <w:ind w:left="360" w:hanging="334"/>
        <w:spacing w:after="0"/>
        <w:tabs>
          <w:tab w:leader="none" w:pos="360" w:val="left"/>
        </w:tabs>
        <w:numPr>
          <w:ilvl w:val="0"/>
          <w:numId w:val="1"/>
        </w:numPr>
        <w:rPr>
          <w:rFonts w:ascii="MS PGothic" w:cs="MS PGothic" w:eastAsia="MS PGothic" w:hAnsi="MS PGothic"/>
          <w:sz w:val="20"/>
          <w:szCs w:val="20"/>
          <w:color w:val="auto"/>
        </w:rPr>
      </w:pPr>
      <w:r>
        <w:rPr>
          <w:rFonts w:ascii="Arial" w:cs="Arial" w:eastAsia="Arial" w:hAnsi="Arial"/>
          <w:sz w:val="16"/>
          <w:szCs w:val="16"/>
          <w:color w:val="auto"/>
        </w:rPr>
        <w:t>Pre-commencement communications pursuant to Rule 14d-2(b) under the Exchange Act (17 CFR 240.14d-2(b))</w:t>
      </w:r>
    </w:p>
    <w:p>
      <w:pPr>
        <w:spacing w:after="0" w:line="91" w:lineRule="exact"/>
        <w:rPr>
          <w:rFonts w:ascii="MS PGothic" w:cs="MS PGothic" w:eastAsia="MS PGothic" w:hAnsi="MS PGothic"/>
          <w:sz w:val="20"/>
          <w:szCs w:val="20"/>
          <w:color w:val="auto"/>
        </w:rPr>
      </w:pPr>
    </w:p>
    <w:p>
      <w:pPr>
        <w:ind w:left="360" w:hanging="334"/>
        <w:spacing w:after="0"/>
        <w:tabs>
          <w:tab w:leader="none" w:pos="360" w:val="left"/>
        </w:tabs>
        <w:numPr>
          <w:ilvl w:val="0"/>
          <w:numId w:val="1"/>
        </w:numPr>
        <w:rPr>
          <w:rFonts w:ascii="MS PGothic" w:cs="MS PGothic" w:eastAsia="MS PGothic" w:hAnsi="MS PGothic"/>
          <w:sz w:val="20"/>
          <w:szCs w:val="20"/>
          <w:color w:val="auto"/>
        </w:rPr>
      </w:pPr>
      <w:r>
        <w:rPr>
          <w:rFonts w:ascii="Arial" w:cs="Arial" w:eastAsia="Arial" w:hAnsi="Arial"/>
          <w:sz w:val="16"/>
          <w:szCs w:val="16"/>
          <w:color w:val="auto"/>
        </w:rPr>
        <w:t>Pre-commencement communications pursuant to Rule 13e-4(c) under the Exchange Act (17 CFR 240.13e-4(c))</w:t>
      </w:r>
    </w:p>
    <w:p>
      <w:pPr>
        <w:spacing w:after="0" w:line="289"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16" w:lineRule="exact"/>
        <w:rPr>
          <w:sz w:val="24"/>
          <w:szCs w:val="24"/>
          <w:color w:val="auto"/>
        </w:rPr>
      </w:pPr>
    </w:p>
    <w:tbl>
      <w:tblPr>
        <w:tblLayout w:type="fixed"/>
        <w:tblInd w:w="0" w:type="dxa"/>
        <w:tblCellMar>
          <w:top w:w="0" w:type="dxa"/>
          <w:left w:w="0" w:type="dxa"/>
          <w:bottom w:w="0" w:type="dxa"/>
          <w:right w:w="0" w:type="dxa"/>
        </w:tblCellMar>
      </w:tblPr>
      <w:tr>
        <w:trPr>
          <w:trHeight w:val="217"/>
        </w:trPr>
        <w:tc>
          <w:tcPr>
            <w:tcW w:w="4660" w:type="dxa"/>
            <w:vAlign w:val="bottom"/>
            <w:gridSpan w:val="2"/>
          </w:tcPr>
          <w:p>
            <w:pPr>
              <w:ind w:left="20"/>
              <w:spacing w:after="0"/>
              <w:rPr>
                <w:sz w:val="20"/>
                <w:szCs w:val="20"/>
                <w:color w:val="auto"/>
              </w:rPr>
            </w:pPr>
            <w:r>
              <w:rPr>
                <w:rFonts w:ascii="Arial" w:cs="Arial" w:eastAsia="Arial" w:hAnsi="Arial"/>
                <w:sz w:val="16"/>
                <w:szCs w:val="16"/>
                <w:b w:val="1"/>
                <w:bCs w:val="1"/>
                <w:color w:val="auto"/>
              </w:rPr>
              <w:t>Title of each class</w:t>
            </w:r>
          </w:p>
        </w:tc>
        <w:tc>
          <w:tcPr>
            <w:tcW w:w="2080" w:type="dxa"/>
            <w:vAlign w:val="bottom"/>
            <w:gridSpan w:val="2"/>
          </w:tcPr>
          <w:p>
            <w:pPr>
              <w:ind w:left="20"/>
              <w:spacing w:after="0"/>
              <w:rPr>
                <w:sz w:val="20"/>
                <w:szCs w:val="20"/>
                <w:color w:val="auto"/>
              </w:rPr>
            </w:pPr>
            <w:r>
              <w:rPr>
                <w:rFonts w:ascii="Arial" w:cs="Arial" w:eastAsia="Arial" w:hAnsi="Arial"/>
                <w:sz w:val="16"/>
                <w:szCs w:val="16"/>
                <w:b w:val="1"/>
                <w:bCs w:val="1"/>
                <w:color w:val="auto"/>
              </w:rPr>
              <w:t>Trading Symbol</w:t>
            </w:r>
          </w:p>
        </w:tc>
        <w:tc>
          <w:tcPr>
            <w:tcW w:w="4500" w:type="dxa"/>
            <w:vAlign w:val="bottom"/>
          </w:tcPr>
          <w:p>
            <w:pPr>
              <w:ind w:left="20"/>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208"/>
        </w:trPr>
        <w:tc>
          <w:tcPr>
            <w:tcW w:w="45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Common Stock, $0.01 par value per share</w:t>
            </w:r>
          </w:p>
        </w:tc>
        <w:tc>
          <w:tcPr>
            <w:tcW w:w="160" w:type="dxa"/>
            <w:vAlign w:val="bottom"/>
          </w:tcPr>
          <w:p>
            <w:pPr>
              <w:spacing w:after="0"/>
              <w:rPr>
                <w:sz w:val="18"/>
                <w:szCs w:val="18"/>
                <w:color w:val="auto"/>
              </w:rPr>
            </w:pPr>
          </w:p>
        </w:tc>
        <w:tc>
          <w:tcPr>
            <w:tcW w:w="19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EXE</w:t>
            </w:r>
          </w:p>
        </w:tc>
        <w:tc>
          <w:tcPr>
            <w:tcW w:w="140" w:type="dxa"/>
            <w:vAlign w:val="bottom"/>
          </w:tcPr>
          <w:p>
            <w:pPr>
              <w:spacing w:after="0"/>
              <w:rPr>
                <w:sz w:val="18"/>
                <w:szCs w:val="18"/>
                <w:color w:val="auto"/>
              </w:rPr>
            </w:pPr>
          </w:p>
        </w:tc>
        <w:tc>
          <w:tcPr>
            <w:tcW w:w="45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The Nasdaq Stock Market LLC</w:t>
            </w:r>
          </w:p>
        </w:tc>
      </w:tr>
    </w:tbl>
    <w:p>
      <w:pPr>
        <w:spacing w:after="0" w:line="200" w:lineRule="exact"/>
        <w:rPr>
          <w:sz w:val="24"/>
          <w:szCs w:val="24"/>
          <w:color w:val="auto"/>
        </w:rPr>
      </w:pPr>
    </w:p>
    <w:p>
      <w:pPr>
        <w:sectPr>
          <w:pgSz w:w="11900" w:h="16838" w:orient="portrait"/>
          <w:cols w:equalWidth="0" w:num="1">
            <w:col w:w="11240"/>
          </w:cols>
          <w:pgMar w:left="320" w:top="1440" w:right="339" w:bottom="1440" w:gutter="0" w:footer="0" w:header="0"/>
        </w:sectPr>
      </w:pPr>
    </w:p>
    <w:p>
      <w:pPr>
        <w:spacing w:after="0" w:line="57" w:lineRule="exact"/>
        <w:rPr>
          <w:sz w:val="24"/>
          <w:szCs w:val="24"/>
          <w:color w:val="auto"/>
        </w:rPr>
      </w:pPr>
    </w:p>
    <w:p>
      <w:pPr>
        <w:ind w:left="20" w:right="220"/>
        <w:spacing w:after="0" w:line="304"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 w:lineRule="exact"/>
        <w:rPr>
          <w:sz w:val="24"/>
          <w:szCs w:val="24"/>
          <w:color w:val="auto"/>
        </w:rPr>
      </w:pPr>
    </w:p>
    <w:p>
      <w:pPr>
        <w:ind w:left="8660"/>
        <w:spacing w:after="0"/>
        <w:rPr>
          <w:sz w:val="20"/>
          <w:szCs w:val="20"/>
          <w:color w:val="auto"/>
        </w:rPr>
      </w:pPr>
      <w:r>
        <w:rPr>
          <w:rFonts w:ascii="Arial" w:cs="Arial" w:eastAsia="Arial" w:hAnsi="Arial"/>
          <w:sz w:val="16"/>
          <w:szCs w:val="16"/>
          <w:color w:val="auto"/>
        </w:rPr>
        <w:t>Emerging growth company</w:t>
      </w:r>
    </w:p>
    <w:p>
      <w:pPr>
        <w:spacing w:after="0" w:line="140" w:lineRule="exact"/>
        <w:rPr>
          <w:sz w:val="24"/>
          <w:szCs w:val="24"/>
          <w:color w:val="auto"/>
        </w:rPr>
      </w:pPr>
    </w:p>
    <w:p>
      <w:pPr>
        <w:ind w:left="20" w:right="300"/>
        <w:spacing w:after="0" w:line="304"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608965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9"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171"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ectPr>
          <w:pgSz w:w="11900" w:h="16838" w:orient="portrait"/>
          <w:cols w:equalWidth="0" w:num="2">
            <w:col w:w="10580" w:space="220"/>
            <w:col w:w="440"/>
          </w:cols>
          <w:pgMar w:left="320" w:top="1440"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3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On October 27, 2026, Expand Energy Corporation (“Expand Energy”) issued a press release reporting third quarter 2026 financial and operational results. A copy of the press release and financial information are attached hereto as Exhibit 99.1.</w:t>
      </w:r>
    </w:p>
    <w:p>
      <w:pPr>
        <w:spacing w:after="0" w:line="18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information contained in the press release is being furnished, not filed, pursuant to Item 2.02. Accordingly, the information contained in the press release shall not be deemed “filed” for purposes of Section 18 of the Securities Exchange Act of 1934, as amended (the “Exchange Act”), or incorporated by reference in any filing under the Securities Act of 1933, as amended (the “Securities Act”), or the Exchange Act, except as shall be expressly set forth by specific reference in such a filing.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3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On October 28, 2026, Expand Energy will make a presentation about its financial and operating results for the third quarter of 2026. Expand Energy has made the presentation available on its website at https://investors.expandenergy.com. This information is being furnished and shall not be deemed “filed” for purposes of Section 18 of the Exchange Act or incorporated by reference in any filing under the Securities Act or the Exchange Act, except as shall be expressly set forth by specific reference in such a filing.</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2" w:lineRule="exact"/>
        <w:rPr>
          <w:sz w:val="20"/>
          <w:szCs w:val="20"/>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1600" w:type="dxa"/>
            <w:vAlign w:val="bottom"/>
            <w:gridSpan w:val="4"/>
          </w:tcPr>
          <w:p>
            <w:pPr>
              <w:ind w:left="220"/>
              <w:spacing w:after="0"/>
              <w:rPr>
                <w:sz w:val="20"/>
                <w:szCs w:val="20"/>
                <w:color w:val="auto"/>
              </w:rPr>
            </w:pPr>
            <w:r>
              <w:rPr>
                <w:rFonts w:ascii="Arial" w:cs="Arial" w:eastAsia="Arial" w:hAnsi="Arial"/>
                <w:sz w:val="18"/>
                <w:szCs w:val="18"/>
                <w:b w:val="1"/>
                <w:bCs w:val="1"/>
                <w:color w:val="auto"/>
              </w:rPr>
              <w:t>Exhibit No.</w:t>
            </w:r>
          </w:p>
        </w:tc>
        <w:tc>
          <w:tcPr>
            <w:tcW w:w="9640" w:type="dxa"/>
            <w:vAlign w:val="bottom"/>
          </w:tcPr>
          <w:p>
            <w:pPr>
              <w:ind w:left="20"/>
              <w:spacing w:after="0"/>
              <w:rPr>
                <w:sz w:val="20"/>
                <w:szCs w:val="20"/>
                <w:color w:val="auto"/>
              </w:rPr>
            </w:pPr>
            <w:r>
              <w:rPr>
                <w:rFonts w:ascii="Arial" w:cs="Arial" w:eastAsia="Arial" w:hAnsi="Arial"/>
                <w:sz w:val="18"/>
                <w:szCs w:val="18"/>
                <w:b w:val="1"/>
                <w:bCs w:val="1"/>
                <w:color w:val="auto"/>
              </w:rPr>
              <w:t>Document Description</w:t>
            </w:r>
          </w:p>
        </w:tc>
      </w:tr>
      <w:tr>
        <w:trPr>
          <w:trHeight w:val="183"/>
        </w:trPr>
        <w:tc>
          <w:tcPr>
            <w:tcW w:w="520" w:type="dxa"/>
            <w:vAlign w:val="bottom"/>
            <w:tcBorders>
              <w:top w:val="single" w:sz="8" w:color="auto"/>
            </w:tcBorders>
          </w:tcPr>
          <w:p>
            <w:pPr>
              <w:spacing w:after="0"/>
              <w:rPr>
                <w:sz w:val="15"/>
                <w:szCs w:val="15"/>
                <w:color w:val="auto"/>
              </w:rPr>
            </w:pPr>
          </w:p>
        </w:tc>
        <w:tc>
          <w:tcPr>
            <w:tcW w:w="360" w:type="dxa"/>
            <w:vAlign w:val="bottom"/>
            <w:tcBorders>
              <w:top w:val="single" w:sz="8" w:color="auto"/>
              <w:bottom w:val="single" w:sz="8" w:color="0000FF"/>
            </w:tcBorders>
          </w:tcPr>
          <w:p>
            <w:pPr>
              <w:jc w:val="center"/>
              <w:spacing w:after="0" w:line="169" w:lineRule="exact"/>
              <w:rPr>
                <w:sz w:val="20"/>
                <w:szCs w:val="20"/>
                <w:color w:val="auto"/>
              </w:rPr>
            </w:pPr>
            <w:r>
              <w:rPr>
                <w:rFonts w:ascii="Arial" w:cs="Arial" w:eastAsia="Arial" w:hAnsi="Arial"/>
                <w:sz w:val="18"/>
                <w:szCs w:val="18"/>
                <w:color w:val="0000FF"/>
                <w:w w:val="96"/>
              </w:rPr>
              <w:t>99.</w:t>
            </w:r>
            <w:r>
              <w:rPr>
                <w:rFonts w:ascii="Arial" w:cs="Arial" w:eastAsia="Arial" w:hAnsi="Arial"/>
                <w:sz w:val="18"/>
                <w:szCs w:val="18"/>
                <w:u w:val="single" w:color="auto"/>
                <w:color w:val="0000FF"/>
                <w:w w:val="96"/>
              </w:rPr>
              <w:t>1</w:t>
            </w:r>
          </w:p>
        </w:tc>
        <w:tc>
          <w:tcPr>
            <w:tcW w:w="5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9640" w:type="dxa"/>
            <w:vAlign w:val="bottom"/>
            <w:tcBorders>
              <w:top w:val="single" w:sz="8" w:color="auto"/>
            </w:tcBorders>
          </w:tcPr>
          <w:p>
            <w:pPr>
              <w:ind w:left="20"/>
              <w:spacing w:after="0" w:line="169" w:lineRule="exact"/>
              <w:rPr>
                <w:sz w:val="20"/>
                <w:szCs w:val="20"/>
                <w:color w:val="auto"/>
              </w:rPr>
            </w:pPr>
            <w:r>
              <w:rPr>
                <w:rFonts w:ascii="Arial" w:cs="Arial" w:eastAsia="Arial" w:hAnsi="Arial"/>
                <w:sz w:val="18"/>
                <w:szCs w:val="18"/>
                <w:color w:val="auto"/>
              </w:rPr>
              <w:t>Expand Energy Corporation press release dated October 27, 2026</w:t>
            </w:r>
          </w:p>
        </w:tc>
      </w:tr>
      <w:tr>
        <w:trPr>
          <w:trHeight w:val="335"/>
        </w:trPr>
        <w:tc>
          <w:tcPr>
            <w:tcW w:w="880" w:type="dxa"/>
            <w:vAlign w:val="bottom"/>
            <w:gridSpan w:val="2"/>
          </w:tcPr>
          <w:p>
            <w:pPr>
              <w:jc w:val="right"/>
              <w:spacing w:after="0"/>
              <w:rPr>
                <w:sz w:val="20"/>
                <w:szCs w:val="20"/>
                <w:color w:val="auto"/>
              </w:rPr>
            </w:pPr>
            <w:r>
              <w:rPr>
                <w:rFonts w:ascii="Arial" w:cs="Arial" w:eastAsia="Arial" w:hAnsi="Arial"/>
                <w:sz w:val="18"/>
                <w:szCs w:val="18"/>
                <w:color w:val="auto"/>
              </w:rPr>
              <w:t>104</w:t>
            </w: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40" w:type="dxa"/>
            <w:vAlign w:val="bottom"/>
          </w:tcPr>
          <w:p>
            <w:pPr>
              <w:ind w:left="20"/>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1002"/>
        </w:trPr>
        <w:tc>
          <w:tcPr>
            <w:tcW w:w="5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6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3" w:right="339" w:bottom="1440" w:gutter="0" w:footer="0" w:header="0"/>
        </w:sectPr>
      </w:pPr>
    </w:p>
    <w:bookmarkStart w:id="2" w:name="page3"/>
    <w:bookmarkEnd w:id="2"/>
    <w:p>
      <w:pPr>
        <w:jc w:val="center"/>
        <w:ind w:right="-119"/>
        <w:spacing w:after="0"/>
        <w:rPr>
          <w:sz w:val="20"/>
          <w:szCs w:val="20"/>
          <w:color w:val="auto"/>
        </w:rPr>
      </w:pPr>
      <w:r>
        <w:rPr>
          <w:rFonts w:ascii="Arial" w:cs="Arial" w:eastAsia="Arial" w:hAnsi="Arial"/>
          <w:sz w:val="18"/>
          <w:szCs w:val="18"/>
          <w:b w:val="1"/>
          <w:bCs w:val="1"/>
          <w:color w:val="auto"/>
        </w:rPr>
        <w:t>SIGNATURE</w:t>
      </w:r>
    </w:p>
    <w:p>
      <w:pPr>
        <w:spacing w:after="0" w:line="198"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7" w:lineRule="exact"/>
        <w:rPr>
          <w:sz w:val="20"/>
          <w:szCs w:val="20"/>
          <w:color w:val="auto"/>
        </w:rPr>
      </w:pPr>
    </w:p>
    <w:p>
      <w:pPr>
        <w:ind w:left="6420"/>
        <w:spacing w:after="0"/>
        <w:rPr>
          <w:sz w:val="20"/>
          <w:szCs w:val="20"/>
          <w:color w:val="auto"/>
        </w:rPr>
      </w:pPr>
      <w:r>
        <w:rPr>
          <w:rFonts w:ascii="Arial" w:cs="Arial" w:eastAsia="Arial" w:hAnsi="Arial"/>
          <w:sz w:val="18"/>
          <w:szCs w:val="18"/>
          <w:b w:val="1"/>
          <w:bCs w:val="1"/>
          <w:color w:val="auto"/>
        </w:rPr>
        <w:t>EXPAND ENERGY CORPORATION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By: /s/ MARCEL TEUNISSEN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34925</wp:posOffset>
            </wp:positionV>
            <wp:extent cx="30257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025775" cy="8255"/>
                    </a:xfrm>
                    <a:prstGeom prst="rect">
                      <a:avLst/>
                    </a:prstGeom>
                    <a:noFill/>
                  </pic:spPr>
                </pic:pic>
              </a:graphicData>
            </a:graphic>
          </wp:anchor>
        </w:drawing>
      </w:r>
    </w:p>
    <w:p>
      <w:pPr>
        <w:spacing w:after="0" w:line="57"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Marcel Teunissen</w:t>
      </w:r>
    </w:p>
    <w:p>
      <w:pPr>
        <w:spacing w:after="0" w:line="63"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Executive Vice President and Chief Financial Officer</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Date: October 27, 2026</w:t>
      </w:r>
    </w:p>
    <w:p>
      <w:pPr>
        <w:sectPr>
          <w:pgSz w:w="11900" w:h="16838" w:orient="portrait"/>
          <w:cols w:equalWidth="0" w:num="1">
            <w:col w:w="11120"/>
          </w:cols>
          <w:pgMar w:left="320" w:top="1403" w:right="459" w:bottom="1440" w:gutter="0" w:footer="0" w:header="0"/>
        </w:sectPr>
      </w:pPr>
    </w:p>
    <w:bookmarkStart w:id="3" w:name="page4"/>
    <w:bookmarkEnd w:id="3"/>
    <w:p>
      <w:pPr>
        <w:jc w:val="right"/>
        <w:ind w:right="60"/>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17780</wp:posOffset>
            </wp:positionV>
            <wp:extent cx="1663065" cy="4114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63065" cy="41148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jc w:val="right"/>
        <w:ind w:right="60"/>
        <w:spacing w:after="0"/>
        <w:rPr>
          <w:sz w:val="20"/>
          <w:szCs w:val="20"/>
          <w:color w:val="auto"/>
        </w:rPr>
      </w:pPr>
      <w:r>
        <w:rPr>
          <w:rFonts w:ascii="Arial" w:cs="Arial" w:eastAsia="Arial" w:hAnsi="Arial"/>
          <w:sz w:val="25"/>
          <w:szCs w:val="25"/>
          <w:b w:val="1"/>
          <w:bCs w:val="1"/>
          <w:color w:val="00386C"/>
        </w:rPr>
        <w:t>N E W S  R E L E A S 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Expand Energy Corporation Reports Third Quarter 2026 Results</w:t>
      </w:r>
    </w:p>
    <w:p>
      <w:pPr>
        <w:spacing w:after="0" w:line="229"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SPRING, Texas – October 27, 2026 – Expand Energy Corporation (NASDAQ: EXE) ("Expand Energy" or the "Company") today reported third quarter 2026 financial and operating results.</w:t>
      </w:r>
    </w:p>
    <w:p>
      <w:pPr>
        <w:spacing w:after="0" w:line="196" w:lineRule="exact"/>
        <w:rPr>
          <w:sz w:val="20"/>
          <w:szCs w:val="20"/>
          <w:color w:val="auto"/>
        </w:rPr>
      </w:pPr>
    </w:p>
    <w:p>
      <w:pPr>
        <w:ind w:left="660" w:hanging="328"/>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Net cash provided by operating activities of $1,177 million, driven by operational performance and liquids revenue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1"/>
          <w:numId w:val="3"/>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Net income of $519 million, or $2.24 per fully diluted share; adjusted net income</w:t>
      </w:r>
      <w:r>
        <w:rPr>
          <w:rFonts w:ascii="Arial" w:cs="Arial" w:eastAsia="Arial" w:hAnsi="Arial"/>
          <w:sz w:val="22"/>
          <w:szCs w:val="22"/>
          <w:b w:val="1"/>
          <w:bCs w:val="1"/>
          <w:i w:val="1"/>
          <w:iCs w:val="1"/>
          <w:color w:val="auto"/>
          <w:vertAlign w:val="superscript"/>
        </w:rPr>
        <w:t>(1)</w:t>
      </w:r>
      <w:r>
        <w:rPr>
          <w:rFonts w:ascii="Arial" w:cs="Arial" w:eastAsia="Arial" w:hAnsi="Arial"/>
          <w:sz w:val="17"/>
          <w:szCs w:val="17"/>
          <w:b w:val="1"/>
          <w:bCs w:val="1"/>
          <w:i w:val="1"/>
          <w:iCs w:val="1"/>
          <w:color w:val="auto"/>
        </w:rPr>
        <w:t xml:space="preserve"> of $338 million, or $1.46 per diluted share</w:t>
      </w:r>
    </w:p>
    <w:p>
      <w:pPr>
        <w:spacing w:after="0" w:line="33" w:lineRule="exact"/>
        <w:rPr>
          <w:rFonts w:ascii="Arial" w:cs="Arial" w:eastAsia="Arial" w:hAnsi="Arial"/>
          <w:sz w:val="17"/>
          <w:szCs w:val="17"/>
          <w:b w:val="1"/>
          <w:bCs w:val="1"/>
          <w:i w:val="1"/>
          <w:iCs w:val="1"/>
          <w:color w:val="auto"/>
        </w:rPr>
      </w:pPr>
    </w:p>
    <w:p>
      <w:pPr>
        <w:ind w:left="660" w:hanging="328"/>
        <w:spacing w:after="0"/>
        <w:tabs>
          <w:tab w:leader="none" w:pos="660" w:val="left"/>
        </w:tabs>
        <w:numPr>
          <w:ilvl w:val="1"/>
          <w:numId w:val="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Adjusted EBITDAX</w:t>
      </w:r>
      <w:r>
        <w:rPr>
          <w:rFonts w:ascii="Arial" w:cs="Arial" w:eastAsia="Arial" w:hAnsi="Arial"/>
          <w:sz w:val="23"/>
          <w:szCs w:val="23"/>
          <w:b w:val="1"/>
          <w:bCs w:val="1"/>
          <w:i w:val="1"/>
          <w:iCs w:val="1"/>
          <w:color w:val="auto"/>
          <w:vertAlign w:val="superscript"/>
        </w:rPr>
        <w:t>(1)</w:t>
      </w:r>
      <w:r>
        <w:rPr>
          <w:rFonts w:ascii="Arial" w:cs="Arial" w:eastAsia="Arial" w:hAnsi="Arial"/>
          <w:sz w:val="18"/>
          <w:szCs w:val="18"/>
          <w:b w:val="1"/>
          <w:bCs w:val="1"/>
          <w:i w:val="1"/>
          <w:iCs w:val="1"/>
          <w:color w:val="auto"/>
        </w:rPr>
        <w:t xml:space="preserve"> of $1,229 million</w:t>
      </w:r>
    </w:p>
    <w:p>
      <w:pPr>
        <w:spacing w:after="0" w:line="5" w:lineRule="exact"/>
        <w:rPr>
          <w:rFonts w:ascii="Arial" w:cs="Arial" w:eastAsia="Arial" w:hAnsi="Arial"/>
          <w:sz w:val="18"/>
          <w:szCs w:val="18"/>
          <w:b w:val="1"/>
          <w:bCs w:val="1"/>
          <w:i w:val="1"/>
          <w:iCs w:val="1"/>
          <w:color w:val="auto"/>
        </w:rPr>
      </w:pPr>
    </w:p>
    <w:p>
      <w:pPr>
        <w:ind w:left="660" w:hanging="328"/>
        <w:spacing w:after="0"/>
        <w:tabs>
          <w:tab w:leader="none" w:pos="660" w:val="left"/>
        </w:tabs>
        <w:numPr>
          <w:ilvl w:val="1"/>
          <w:numId w:val="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Net production of 7.54 Bcfe/d (92% natural gas)</w:t>
      </w:r>
    </w:p>
    <w:p>
      <w:pPr>
        <w:spacing w:after="0" w:line="47" w:lineRule="exact"/>
        <w:rPr>
          <w:rFonts w:ascii="Arial" w:cs="Arial" w:eastAsia="Arial" w:hAnsi="Arial"/>
          <w:sz w:val="18"/>
          <w:szCs w:val="18"/>
          <w:b w:val="1"/>
          <w:bCs w:val="1"/>
          <w:i w:val="1"/>
          <w:iCs w:val="1"/>
          <w:color w:val="auto"/>
        </w:rPr>
      </w:pPr>
    </w:p>
    <w:p>
      <w:pPr>
        <w:ind w:left="660" w:hanging="328"/>
        <w:spacing w:after="0"/>
        <w:tabs>
          <w:tab w:leader="none" w:pos="660" w:val="left"/>
        </w:tabs>
        <w:numPr>
          <w:ilvl w:val="1"/>
          <w:numId w:val="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Completed the acquisition of Twin Eagle Holdings, N.A., LLC ("Twin Eagle") on September 16</w:t>
      </w:r>
    </w:p>
    <w:p>
      <w:pPr>
        <w:spacing w:after="0" w:line="63" w:lineRule="exact"/>
        <w:rPr>
          <w:rFonts w:ascii="Arial" w:cs="Arial" w:eastAsia="Arial" w:hAnsi="Arial"/>
          <w:sz w:val="18"/>
          <w:szCs w:val="18"/>
          <w:b w:val="1"/>
          <w:bCs w:val="1"/>
          <w:i w:val="1"/>
          <w:iCs w:val="1"/>
          <w:color w:val="auto"/>
        </w:rPr>
      </w:pPr>
    </w:p>
    <w:p>
      <w:pPr>
        <w:ind w:left="660" w:hanging="328"/>
        <w:spacing w:after="0"/>
        <w:tabs>
          <w:tab w:leader="none" w:pos="660" w:val="left"/>
        </w:tabs>
        <w:numPr>
          <w:ilvl w:val="1"/>
          <w:numId w:val="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Total debt of $4.6 billion as of quarter-end and leverage ratio</w:t>
      </w:r>
      <w:r>
        <w:rPr>
          <w:rFonts w:ascii="Arial" w:cs="Arial" w:eastAsia="Arial" w:hAnsi="Arial"/>
          <w:sz w:val="23"/>
          <w:szCs w:val="23"/>
          <w:b w:val="1"/>
          <w:bCs w:val="1"/>
          <w:i w:val="1"/>
          <w:iCs w:val="1"/>
          <w:color w:val="auto"/>
          <w:vertAlign w:val="superscript"/>
        </w:rPr>
        <w:t>(1)</w:t>
      </w:r>
      <w:r>
        <w:rPr>
          <w:rFonts w:ascii="Arial" w:cs="Arial" w:eastAsia="Arial" w:hAnsi="Arial"/>
          <w:sz w:val="18"/>
          <w:szCs w:val="18"/>
          <w:b w:val="1"/>
          <w:bCs w:val="1"/>
          <w:i w:val="1"/>
          <w:iCs w:val="1"/>
          <w:color w:val="auto"/>
        </w:rPr>
        <w:t xml:space="preserve"> of 0.8x</w:t>
      </w:r>
    </w:p>
    <w:p>
      <w:pPr>
        <w:spacing w:after="0" w:line="21" w:lineRule="exact"/>
        <w:rPr>
          <w:rFonts w:ascii="Arial" w:cs="Arial" w:eastAsia="Arial" w:hAnsi="Arial"/>
          <w:sz w:val="18"/>
          <w:szCs w:val="18"/>
          <w:b w:val="1"/>
          <w:bCs w:val="1"/>
          <w:i w:val="1"/>
          <w:iCs w:val="1"/>
          <w:color w:val="auto"/>
        </w:rPr>
      </w:pPr>
    </w:p>
    <w:p>
      <w:pPr>
        <w:ind w:left="660" w:hanging="328"/>
        <w:spacing w:after="0" w:line="275" w:lineRule="auto"/>
        <w:tabs>
          <w:tab w:leader="none" w:pos="655" w:val="left"/>
        </w:tabs>
        <w:numPr>
          <w:ilvl w:val="1"/>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Repurchased $305 million of common stock in the third quarter; year-to-date repurchases total approximately $900 million or 4% of shares outstanding</w:t>
      </w:r>
    </w:p>
    <w:p>
      <w:pPr>
        <w:spacing w:after="0" w:line="200" w:lineRule="exact"/>
        <w:rPr>
          <w:rFonts w:ascii="Arial" w:cs="Arial" w:eastAsia="Arial" w:hAnsi="Arial"/>
          <w:sz w:val="18"/>
          <w:szCs w:val="18"/>
          <w:color w:val="auto"/>
        </w:rPr>
      </w:pPr>
    </w:p>
    <w:p>
      <w:pPr>
        <w:spacing w:after="0" w:line="201" w:lineRule="exact"/>
        <w:rPr>
          <w:rFonts w:ascii="Arial" w:cs="Arial" w:eastAsia="Arial" w:hAnsi="Arial"/>
          <w:sz w:val="18"/>
          <w:szCs w:val="18"/>
          <w:color w:val="auto"/>
        </w:rPr>
      </w:pPr>
    </w:p>
    <w:p>
      <w:pPr>
        <w:ind w:left="200" w:hanging="192"/>
        <w:spacing w:after="0"/>
        <w:tabs>
          <w:tab w:leader="none" w:pos="200" w:val="left"/>
        </w:tabs>
        <w:numPr>
          <w:ilvl w:val="0"/>
          <w:numId w:val="3"/>
        </w:numPr>
        <w:rPr>
          <w:rFonts w:ascii="Arial" w:cs="Arial" w:eastAsia="Arial" w:hAnsi="Arial"/>
          <w:sz w:val="12"/>
          <w:szCs w:val="12"/>
          <w:i w:val="1"/>
          <w:iCs w:val="1"/>
          <w:color w:val="auto"/>
        </w:rPr>
      </w:pPr>
      <w:r>
        <w:rPr>
          <w:rFonts w:ascii="Arial" w:cs="Arial" w:eastAsia="Arial" w:hAnsi="Arial"/>
          <w:sz w:val="12"/>
          <w:szCs w:val="12"/>
          <w:i w:val="1"/>
          <w:iCs w:val="1"/>
          <w:color w:val="auto"/>
        </w:rPr>
        <w:t>Definitions of non-GAAP financial measures and reconciliations of each non-GAAP financial measure to the most directly comparable GAAP financial measure are included at the end of this release.</w:t>
      </w:r>
    </w:p>
    <w:p>
      <w:pPr>
        <w:spacing w:after="0" w:line="39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“With our diversified scale, investment-grade balance sheet and coast-to-coast customer access, Expand Energy is uniquely positioned to monetize the volatility we see in the gas market today, provide advantaged supply to premium markets and capitalize on the demand growth we expect in the future,” said President and Chief Executive Officer Danny Brown. “Capturing value requires a talented team, disciplined capital allocation and operational excellence. I look forward to working with this team to continue the momentum built and firmly establish Expand Energy as North America’s leading integrated gas company.”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Operations Update</w:t>
      </w:r>
    </w:p>
    <w:p>
      <w:pPr>
        <w:spacing w:after="0" w:line="237"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Expand Energy operated an average of 11 rigs during the third quarter, drilling 46 wells and turning 59 wells in line, resulting in net production of approximately 7.54 Bcfe/d (92% natural gas), including 6.9 Bcf/d of natural gas, 17 MBbls/d of oil and 87 MBbls/d of natural gas liquids. A</w:t>
      </w:r>
    </w:p>
    <w:p>
      <w:pPr>
        <w:spacing w:after="0" w:line="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detailed breakdown of third quarter production, capital expenditures and activity can be found in the supplemental slides which have been posted at https://investors.expandenergy.com/events-presentations.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2026 Capital and Operating Outlook</w:t>
      </w:r>
    </w:p>
    <w:p>
      <w:pPr>
        <w:spacing w:after="0" w:line="23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For the full year 2026, Expand Energy expects to run 11 – 12 rigs and has updated its capital investment guidance to approximately $3 billion. Average daily production is expected to be approximately 7.45 – 7.55 Bcfe/d.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 detailed breakdown of the Company's 2026 annual capital and operating outlook can be found in the supplemental slides.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2026 Marketing and Commercial Update and Outlook</w:t>
      </w:r>
    </w:p>
    <w:p>
      <w:pPr>
        <w:spacing w:after="0" w:line="234"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Expand Energy has reported $150 million of marketing adjusted EBITDA</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for the nine months ended September 30, 2026. During the fourth quarter, the Company expects $80 million of marketing EBITDA, reflecting the impact of the Twin Eagle acquisition (the "Twin Eagle Acquisition"), which closed in September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367030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1840" w:type="dxa"/>
            <w:vAlign w:val="bottom"/>
          </w:tcPr>
          <w:p>
            <w:pPr>
              <w:spacing w:after="0"/>
              <w:rPr>
                <w:sz w:val="20"/>
                <w:szCs w:val="20"/>
                <w:color w:val="auto"/>
              </w:rPr>
            </w:pPr>
            <w:r>
              <w:rPr>
                <w:rFonts w:ascii="Arial" w:cs="Arial" w:eastAsia="Arial" w:hAnsi="Arial"/>
                <w:sz w:val="14"/>
                <w:szCs w:val="14"/>
                <w:b w:val="1"/>
                <w:bCs w:val="1"/>
                <w:color w:val="0072B4"/>
              </w:rPr>
              <w:t>INVESTOR CONTACT:</w:t>
            </w:r>
          </w:p>
        </w:tc>
        <w:tc>
          <w:tcPr>
            <w:tcW w:w="3840" w:type="dxa"/>
            <w:vAlign w:val="bottom"/>
          </w:tcPr>
          <w:p>
            <w:pPr>
              <w:ind w:left="360"/>
              <w:spacing w:after="0"/>
              <w:rPr>
                <w:sz w:val="20"/>
                <w:szCs w:val="20"/>
                <w:color w:val="auto"/>
              </w:rPr>
            </w:pPr>
            <w:r>
              <w:rPr>
                <w:rFonts w:ascii="Arial" w:cs="Arial" w:eastAsia="Arial" w:hAnsi="Arial"/>
                <w:sz w:val="14"/>
                <w:szCs w:val="14"/>
                <w:b w:val="1"/>
                <w:bCs w:val="1"/>
                <w:color w:val="0072B4"/>
              </w:rPr>
              <w:t>MEDIA CONTACT:</w:t>
            </w:r>
          </w:p>
        </w:tc>
        <w:tc>
          <w:tcPr>
            <w:tcW w:w="4280" w:type="dxa"/>
            <w:vAlign w:val="bottom"/>
          </w:tcPr>
          <w:p>
            <w:pPr>
              <w:ind w:left="1940"/>
              <w:spacing w:after="0"/>
              <w:rPr>
                <w:sz w:val="20"/>
                <w:szCs w:val="20"/>
                <w:color w:val="auto"/>
              </w:rPr>
            </w:pPr>
            <w:r>
              <w:rPr>
                <w:rFonts w:ascii="Arial" w:cs="Arial" w:eastAsia="Arial" w:hAnsi="Arial"/>
                <w:sz w:val="14"/>
                <w:szCs w:val="14"/>
                <w:b w:val="1"/>
                <w:bCs w:val="1"/>
                <w:color w:val="0072B4"/>
              </w:rPr>
              <w:t>EXPAND ENERGY CORPORATION</w:t>
            </w:r>
          </w:p>
        </w:tc>
        <w:tc>
          <w:tcPr>
            <w:tcW w:w="0" w:type="dxa"/>
            <w:vAlign w:val="bottom"/>
          </w:tcPr>
          <w:p>
            <w:pPr>
              <w:spacing w:after="0"/>
              <w:rPr>
                <w:sz w:val="1"/>
                <w:szCs w:val="1"/>
                <w:color w:val="auto"/>
              </w:rPr>
            </w:pPr>
          </w:p>
        </w:tc>
      </w:tr>
      <w:tr>
        <w:trPr>
          <w:trHeight w:val="160"/>
        </w:trPr>
        <w:tc>
          <w:tcPr>
            <w:tcW w:w="1840" w:type="dxa"/>
            <w:vAlign w:val="bottom"/>
          </w:tcPr>
          <w:p>
            <w:pPr>
              <w:spacing w:after="0"/>
              <w:rPr>
                <w:sz w:val="20"/>
                <w:szCs w:val="20"/>
                <w:color w:val="auto"/>
              </w:rPr>
            </w:pPr>
            <w:r>
              <w:rPr>
                <w:rFonts w:ascii="Arial" w:cs="Arial" w:eastAsia="Arial" w:hAnsi="Arial"/>
                <w:sz w:val="13"/>
                <w:szCs w:val="13"/>
                <w:color w:val="auto"/>
              </w:rPr>
              <w:t>Brittany Raiford</w:t>
            </w:r>
          </w:p>
        </w:tc>
        <w:tc>
          <w:tcPr>
            <w:tcW w:w="3840" w:type="dxa"/>
            <w:vAlign w:val="bottom"/>
          </w:tcPr>
          <w:p>
            <w:pPr>
              <w:ind w:left="360"/>
              <w:spacing w:after="0"/>
              <w:rPr>
                <w:sz w:val="20"/>
                <w:szCs w:val="20"/>
                <w:color w:val="auto"/>
              </w:rPr>
            </w:pPr>
            <w:r>
              <w:rPr>
                <w:rFonts w:ascii="Arial" w:cs="Arial" w:eastAsia="Arial" w:hAnsi="Arial"/>
                <w:sz w:val="13"/>
                <w:szCs w:val="13"/>
                <w:color w:val="auto"/>
              </w:rPr>
              <w:t>Meghan Macdonald</w:t>
            </w:r>
          </w:p>
        </w:tc>
        <w:tc>
          <w:tcPr>
            <w:tcW w:w="4280" w:type="dxa"/>
            <w:vAlign w:val="bottom"/>
            <w:vMerge w:val="restart"/>
          </w:tcPr>
          <w:p>
            <w:pPr>
              <w:ind w:left="1940"/>
              <w:spacing w:after="0"/>
              <w:rPr>
                <w:sz w:val="20"/>
                <w:szCs w:val="20"/>
                <w:color w:val="auto"/>
              </w:rPr>
            </w:pPr>
            <w:r>
              <w:rPr>
                <w:rFonts w:ascii="Arial" w:cs="Arial" w:eastAsia="Arial" w:hAnsi="Arial"/>
                <w:sz w:val="14"/>
                <w:szCs w:val="14"/>
                <w:color w:val="auto"/>
              </w:rPr>
              <w:t>10000 Energy Drive</w:t>
            </w:r>
          </w:p>
        </w:tc>
        <w:tc>
          <w:tcPr>
            <w:tcW w:w="0" w:type="dxa"/>
            <w:vAlign w:val="bottom"/>
          </w:tcPr>
          <w:p>
            <w:pPr>
              <w:spacing w:after="0"/>
              <w:rPr>
                <w:sz w:val="1"/>
                <w:szCs w:val="1"/>
                <w:color w:val="auto"/>
              </w:rPr>
            </w:pPr>
          </w:p>
        </w:tc>
      </w:tr>
      <w:tr>
        <w:trPr>
          <w:trHeight w:val="90"/>
        </w:trPr>
        <w:tc>
          <w:tcPr>
            <w:tcW w:w="1840" w:type="dxa"/>
            <w:vAlign w:val="bottom"/>
            <w:vMerge w:val="restart"/>
          </w:tcPr>
          <w:p>
            <w:pPr>
              <w:spacing w:after="0"/>
              <w:rPr>
                <w:sz w:val="20"/>
                <w:szCs w:val="20"/>
                <w:color w:val="auto"/>
              </w:rPr>
            </w:pPr>
            <w:r>
              <w:rPr>
                <w:rFonts w:ascii="Arial" w:cs="Arial" w:eastAsia="Arial" w:hAnsi="Arial"/>
                <w:sz w:val="13"/>
                <w:szCs w:val="13"/>
                <w:color w:val="auto"/>
              </w:rPr>
              <w:t>(405) 935-8870</w:t>
            </w:r>
          </w:p>
        </w:tc>
        <w:tc>
          <w:tcPr>
            <w:tcW w:w="3840" w:type="dxa"/>
            <w:vAlign w:val="bottom"/>
            <w:vMerge w:val="restart"/>
          </w:tcPr>
          <w:p>
            <w:pPr>
              <w:ind w:left="360"/>
              <w:spacing w:after="0"/>
              <w:rPr>
                <w:sz w:val="20"/>
                <w:szCs w:val="20"/>
                <w:color w:val="auto"/>
              </w:rPr>
            </w:pPr>
            <w:r>
              <w:rPr>
                <w:rFonts w:ascii="Arial" w:cs="Arial" w:eastAsia="Arial" w:hAnsi="Arial"/>
                <w:sz w:val="13"/>
                <w:szCs w:val="13"/>
                <w:color w:val="auto"/>
              </w:rPr>
              <w:t>(346) 443-6419</w:t>
            </w:r>
          </w:p>
        </w:tc>
        <w:tc>
          <w:tcPr>
            <w:tcW w:w="4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1840" w:type="dxa"/>
            <w:vAlign w:val="bottom"/>
            <w:vMerge w:val="continue"/>
          </w:tcPr>
          <w:p>
            <w:pPr>
              <w:spacing w:after="0"/>
              <w:rPr>
                <w:sz w:val="6"/>
                <w:szCs w:val="6"/>
                <w:color w:val="auto"/>
              </w:rPr>
            </w:pPr>
          </w:p>
        </w:tc>
        <w:tc>
          <w:tcPr>
            <w:tcW w:w="3840" w:type="dxa"/>
            <w:vAlign w:val="bottom"/>
            <w:vMerge w:val="continue"/>
          </w:tcPr>
          <w:p>
            <w:pPr>
              <w:spacing w:after="0"/>
              <w:rPr>
                <w:sz w:val="6"/>
                <w:szCs w:val="6"/>
                <w:color w:val="auto"/>
              </w:rPr>
            </w:pPr>
          </w:p>
        </w:tc>
        <w:tc>
          <w:tcPr>
            <w:tcW w:w="4280" w:type="dxa"/>
            <w:vAlign w:val="bottom"/>
            <w:vMerge w:val="restart"/>
          </w:tcPr>
          <w:p>
            <w:pPr>
              <w:ind w:left="1940"/>
              <w:spacing w:after="0"/>
              <w:rPr>
                <w:sz w:val="20"/>
                <w:szCs w:val="20"/>
                <w:color w:val="auto"/>
              </w:rPr>
            </w:pPr>
            <w:r>
              <w:rPr>
                <w:rFonts w:ascii="Arial" w:cs="Arial" w:eastAsia="Arial" w:hAnsi="Arial"/>
                <w:sz w:val="14"/>
                <w:szCs w:val="14"/>
                <w:color w:val="auto"/>
              </w:rPr>
              <w:t>Spring, TX 77389</w:t>
            </w:r>
          </w:p>
        </w:tc>
        <w:tc>
          <w:tcPr>
            <w:tcW w:w="0" w:type="dxa"/>
            <w:vAlign w:val="bottom"/>
          </w:tcPr>
          <w:p>
            <w:pPr>
              <w:spacing w:after="0"/>
              <w:rPr>
                <w:sz w:val="1"/>
                <w:szCs w:val="1"/>
                <w:color w:val="auto"/>
              </w:rPr>
            </w:pPr>
          </w:p>
        </w:tc>
      </w:tr>
      <w:tr>
        <w:trPr>
          <w:trHeight w:val="118"/>
        </w:trPr>
        <w:tc>
          <w:tcPr>
            <w:tcW w:w="1840" w:type="dxa"/>
            <w:vAlign w:val="bottom"/>
            <w:vMerge w:val="restart"/>
          </w:tcPr>
          <w:p>
            <w:pPr>
              <w:spacing w:after="0"/>
              <w:rPr>
                <w:sz w:val="20"/>
                <w:szCs w:val="20"/>
                <w:color w:val="auto"/>
              </w:rPr>
            </w:pPr>
            <w:r>
              <w:rPr>
                <w:rFonts w:ascii="Arial" w:cs="Arial" w:eastAsia="Arial" w:hAnsi="Arial"/>
                <w:sz w:val="13"/>
                <w:szCs w:val="13"/>
                <w:color w:val="auto"/>
              </w:rPr>
              <w:t>ir@expandenergy.com</w:t>
            </w:r>
          </w:p>
        </w:tc>
        <w:tc>
          <w:tcPr>
            <w:tcW w:w="3840" w:type="dxa"/>
            <w:vAlign w:val="bottom"/>
            <w:vMerge w:val="restart"/>
          </w:tcPr>
          <w:p>
            <w:pPr>
              <w:ind w:left="360"/>
              <w:spacing w:after="0"/>
              <w:rPr>
                <w:sz w:val="20"/>
                <w:szCs w:val="20"/>
                <w:color w:val="auto"/>
              </w:rPr>
            </w:pPr>
            <w:r>
              <w:rPr>
                <w:rFonts w:ascii="Arial" w:cs="Arial" w:eastAsia="Arial" w:hAnsi="Arial"/>
                <w:sz w:val="13"/>
                <w:szCs w:val="13"/>
                <w:color w:val="auto"/>
              </w:rPr>
              <w:t>media@expandenergy.com</w:t>
            </w:r>
          </w:p>
        </w:tc>
        <w:tc>
          <w:tcPr>
            <w:tcW w:w="4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8"/>
        </w:trPr>
        <w:tc>
          <w:tcPr>
            <w:tcW w:w="1840" w:type="dxa"/>
            <w:vAlign w:val="bottom"/>
            <w:vMerge w:val="continue"/>
          </w:tcPr>
          <w:p>
            <w:pPr>
              <w:spacing w:after="0"/>
              <w:rPr>
                <w:sz w:val="4"/>
                <w:szCs w:val="4"/>
                <w:color w:val="auto"/>
              </w:rPr>
            </w:pPr>
          </w:p>
        </w:tc>
        <w:tc>
          <w:tcPr>
            <w:tcW w:w="3840" w:type="dxa"/>
            <w:vAlign w:val="bottom"/>
            <w:vMerge w:val="continue"/>
          </w:tcPr>
          <w:p>
            <w:pPr>
              <w:spacing w:after="0"/>
              <w:rPr>
                <w:sz w:val="4"/>
                <w:szCs w:val="4"/>
                <w:color w:val="auto"/>
              </w:rPr>
            </w:pPr>
          </w:p>
        </w:tc>
        <w:tc>
          <w:tcPr>
            <w:tcW w:w="4280" w:type="dxa"/>
            <w:vAlign w:val="bottom"/>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61" w:right="339" w:bottom="1440" w:gutter="0" w:footer="0" w:header="0"/>
        </w:sectPr>
      </w:pPr>
    </w:p>
    <w:bookmarkStart w:id="4" w:name="page5"/>
    <w:bookmarkEnd w:id="4"/>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Shareholder Returns Update</w:t>
      </w:r>
    </w:p>
    <w:p>
      <w:pPr>
        <w:spacing w:after="0" w:line="237"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Expand Energy expects to continue its returns-focused allocation of capital, including opportunistic share repurchases, while preserving balance sheet capacity to capitalize on attractive opportunities through the cycle. During the third quarter, the Company repurchased $305 million of common stock and has $1 billion of capacity for additional repurchases under its previously announced expanded authorization. The Company plans to pay its quarterly base dividend of $0.575 per share on December 3, 2026 to shareholders of record at the close of business on November 12, 2026.</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Conference Call Information</w:t>
      </w:r>
    </w:p>
    <w:p>
      <w:pPr>
        <w:spacing w:after="0" w:line="2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conference call to discuss Expand Energy's third quarter 2026 financial and operating results and 2026 outlook has been scheduled for 9 a.m. EDT on October 28, 2026. Participants can access the live webcast at https://edge.media-server.com/mmc/p/t8j6c7wi/. Participants who would like to ask a question, can register at https://register-conf.media-server.com/register/BI826fdda5cf68417db7bc224b2fdac43b, and will receive the dial-in info and a unique PIN to join the call. Links to the conference call will be provided at https://investors.expandenergy.com/. A replay will be available on the website following the call.</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Financial Statements, Non-GAAP Financial Measures and 2026 Guidance and Outlook Projections</w:t>
      </w:r>
    </w:p>
    <w:p>
      <w:pPr>
        <w:spacing w:after="0" w:line="2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news release contains the non-GAAP financial measures described below in the section titled "Non-GAAP Financial Measures." Reconciliations of each non-GAAP financial measure used in this news release to the most directly comparable GAAP financial measure are provided below. Additional detail on the Company’s 2026 third quarter financial and operational results, along with non-GAAP measures that adjust for items typically excluded by securities analysts, are available on the Company’s website. Non-GAAP measures should not be considered as an alternative to, or more meaningful than, GAAP measures. Management’s guidance for 2026 can be found on the Company’s website at www.expandenergy.com.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40" w:right="339" w:bottom="1440" w:gutter="0" w:footer="0" w:header="0"/>
        </w:sectPr>
      </w:pPr>
    </w:p>
    <w:bookmarkStart w:id="5" w:name="page6"/>
    <w:bookmarkEnd w:id="5"/>
    <w:p>
      <w:pPr>
        <w:spacing w:after="0" w:line="384"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b w:val="1"/>
          <w:bCs w:val="1"/>
          <w:i w:val="1"/>
          <w:iCs w:val="1"/>
          <w:color w:val="auto"/>
        </w:rPr>
        <w:t>Expand Energy Corporation (NASDAQ: EXE) is North America’s leading integrated natural gas company reaching customers from coast-to-coast across the U.S. and Canada. As the largest natural gas producer in the U.S., we are powered by innovative employees committed to expanding America’s energy reach to fuel a more affordable, reliable, lower carbon future.</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Forward-Looking Statements</w:t>
      </w:r>
    </w:p>
    <w:p>
      <w:pPr>
        <w:spacing w:after="0" w:line="253" w:lineRule="exact"/>
        <w:rPr>
          <w:sz w:val="20"/>
          <w:szCs w:val="20"/>
          <w:color w:val="auto"/>
        </w:rPr>
      </w:pPr>
    </w:p>
    <w:p>
      <w:pPr>
        <w:jc w:val="both"/>
        <w:spacing w:after="0" w:line="250" w:lineRule="auto"/>
        <w:rPr>
          <w:sz w:val="20"/>
          <w:szCs w:val="20"/>
          <w:color w:val="auto"/>
        </w:rPr>
      </w:pPr>
      <w:r>
        <w:rPr>
          <w:rFonts w:ascii="Arial" w:cs="Arial" w:eastAsia="Arial" w:hAnsi="Arial"/>
          <w:sz w:val="14"/>
          <w:szCs w:val="14"/>
          <w:i w:val="1"/>
          <w:iCs w:val="1"/>
          <w:color w:val="auto"/>
        </w:rPr>
        <w:t>This release includes “forward-looking statements” within the meaning of Section 27A of the Securities Act of 1933 and Section 21E of the Securities Exchange Act of 1934 (the “Exchange Act”). Forward-looking statements include our current expectations or forecasts of future events, including matters relating to armed conflict between Russia and Ukraine, instability in the Middle East and Venezuela and changes in China-Taiwan relations, along with the effects of the current global economic environment, and the impact of each on our business, financial condition, results of operations and cash flows, actions by, or disputes among or between, members of OPEC+ and other foreign oil-exporting countries, market factors, market prices, our ability to meet debt service requirements, our ability to continue to pay cash dividends, the amount and timing of any cash dividends and our sustainability initiatives. Forward-looking and other statements in this news release regarding our environmental, social and other sustainability plans and goals are not an indication that these statements are necessarily material to investors or required to be disclosed in our filings with the Securities and Exchange Commission (“SEC”). In addition, historical, current, and forward-looking environmental, social and sustainability-related statements may be based on standards for measuring progress that are still developing, internal controls and processes that continue to evolve, and assumptions that are subject to change in the future. Forward-looking statements often address our expected future business, financial performance and financial condition, and often contain words such as “aim,” “predict,” “should,” “expect,” “could,” “may,” “anticipate,” “intend,” “plan,” “ability,” “believe,” “seek,” “see,” “will,” “would,” “estimate,” “forecast,” “target,” “guidance,” “outlook,” “opportunity” or “strategy.” The absence of such words or expressions does not necessarily mean the statements are not forward-looking.</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4"/>
          <w:szCs w:val="14"/>
          <w:i w:val="1"/>
          <w:iCs w:val="1"/>
          <w:color w:val="auto"/>
        </w:rPr>
        <w:t>Although we believe the expectations and forecasts reflected in our forward-looking statements are reasonable, they are inherently subject to numerous risks and uncertainties, most of which are difficult to predict and many of which are beyond our control. No assurance can be given that such forward-looking statements will be correct or achieved or that the assumptions are accurate or will not change over time. Particular uncertainties that could cause our actual results to be materially different than those expressed in our forward-looking statements include:</w:t>
      </w:r>
    </w:p>
    <w:p>
      <w:pPr>
        <w:spacing w:after="0" w:line="218"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4"/>
          <w:szCs w:val="14"/>
          <w:color w:val="auto"/>
        </w:rPr>
      </w:pPr>
      <w:r>
        <w:rPr>
          <w:rFonts w:ascii="Arial" w:cs="Arial" w:eastAsia="Arial" w:hAnsi="Arial"/>
          <w:sz w:val="14"/>
          <w:szCs w:val="14"/>
          <w:color w:val="auto"/>
        </w:rPr>
        <w:t>Reduced demand for natural gas, oil and natural gas liquids (“NGLs”);</w:t>
      </w:r>
    </w:p>
    <w:p>
      <w:pPr>
        <w:spacing w:after="0" w:line="15" w:lineRule="exact"/>
        <w:rPr>
          <w:rFonts w:ascii="Arial" w:cs="Arial" w:eastAsia="Arial" w:hAnsi="Arial"/>
          <w:sz w:val="14"/>
          <w:szCs w:val="14"/>
          <w:color w:val="auto"/>
        </w:rPr>
      </w:pPr>
    </w:p>
    <w:p>
      <w:pPr>
        <w:ind w:left="660" w:hanging="328"/>
        <w:spacing w:after="0"/>
        <w:tabs>
          <w:tab w:leader="none" w:pos="660" w:val="left"/>
        </w:tabs>
        <w:numPr>
          <w:ilvl w:val="0"/>
          <w:numId w:val="4"/>
        </w:numPr>
        <w:rPr>
          <w:rFonts w:ascii="Arial" w:cs="Arial" w:eastAsia="Arial" w:hAnsi="Arial"/>
          <w:sz w:val="14"/>
          <w:szCs w:val="14"/>
          <w:color w:val="auto"/>
        </w:rPr>
      </w:pPr>
      <w:r>
        <w:rPr>
          <w:rFonts w:ascii="Arial" w:cs="Arial" w:eastAsia="Arial" w:hAnsi="Arial"/>
          <w:sz w:val="14"/>
          <w:szCs w:val="14"/>
          <w:color w:val="auto"/>
        </w:rPr>
        <w:t>negative public perceptions of our industry;</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4"/>
        </w:numPr>
        <w:rPr>
          <w:rFonts w:ascii="Arial" w:cs="Arial" w:eastAsia="Arial" w:hAnsi="Arial"/>
          <w:sz w:val="14"/>
          <w:szCs w:val="14"/>
          <w:color w:val="auto"/>
        </w:rPr>
      </w:pPr>
      <w:r>
        <w:rPr>
          <w:rFonts w:ascii="Arial" w:cs="Arial" w:eastAsia="Arial" w:hAnsi="Arial"/>
          <w:sz w:val="14"/>
          <w:szCs w:val="14"/>
          <w:color w:val="auto"/>
        </w:rPr>
        <w:t>competition in the natural gas and oil exploration and production industry;</w:t>
      </w:r>
    </w:p>
    <w:p>
      <w:pPr>
        <w:spacing w:after="0" w:line="1" w:lineRule="exact"/>
        <w:rPr>
          <w:rFonts w:ascii="Arial" w:cs="Arial" w:eastAsia="Arial" w:hAnsi="Arial"/>
          <w:sz w:val="14"/>
          <w:szCs w:val="14"/>
          <w:color w:val="auto"/>
        </w:rPr>
      </w:pPr>
    </w:p>
    <w:p>
      <w:pPr>
        <w:ind w:left="660" w:hanging="328"/>
        <w:spacing w:after="0" w:line="251" w:lineRule="auto"/>
        <w:tabs>
          <w:tab w:leader="none" w:pos="656"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volatility of natural gas, oil and NGL prices, which are affected by general economic and business conditions, as well as increased demand for (and availability of) alternative fuels and electric vehicles;</w:t>
      </w:r>
    </w:p>
    <w:p>
      <w:pPr>
        <w:ind w:left="660" w:hanging="328"/>
        <w:spacing w:after="0"/>
        <w:tabs>
          <w:tab w:leader="none" w:pos="660" w:val="left"/>
        </w:tabs>
        <w:numPr>
          <w:ilvl w:val="0"/>
          <w:numId w:val="4"/>
        </w:numPr>
        <w:rPr>
          <w:rFonts w:ascii="Arial" w:cs="Arial" w:eastAsia="Arial" w:hAnsi="Arial"/>
          <w:sz w:val="14"/>
          <w:szCs w:val="14"/>
          <w:color w:val="auto"/>
        </w:rPr>
      </w:pPr>
      <w:r>
        <w:rPr>
          <w:rFonts w:ascii="Arial" w:cs="Arial" w:eastAsia="Arial" w:hAnsi="Arial"/>
          <w:sz w:val="14"/>
          <w:szCs w:val="14"/>
          <w:color w:val="auto"/>
        </w:rPr>
        <w:t>risks from regional epidemics or pandemics and related economic turmoil, including supply chain constraints;</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4"/>
        </w:numPr>
        <w:rPr>
          <w:rFonts w:ascii="Arial" w:cs="Arial" w:eastAsia="Arial" w:hAnsi="Arial"/>
          <w:sz w:val="14"/>
          <w:szCs w:val="14"/>
          <w:color w:val="auto"/>
        </w:rPr>
      </w:pPr>
      <w:r>
        <w:rPr>
          <w:rFonts w:ascii="Arial" w:cs="Arial" w:eastAsia="Arial" w:hAnsi="Arial"/>
          <w:sz w:val="14"/>
          <w:szCs w:val="14"/>
          <w:color w:val="auto"/>
        </w:rPr>
        <w:t>write-downs of our natural gas and oil asset carrying values due to low commodity prices;</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4"/>
        </w:numPr>
        <w:rPr>
          <w:rFonts w:ascii="Arial" w:cs="Arial" w:eastAsia="Arial" w:hAnsi="Arial"/>
          <w:sz w:val="14"/>
          <w:szCs w:val="14"/>
          <w:color w:val="auto"/>
        </w:rPr>
      </w:pPr>
      <w:r>
        <w:rPr>
          <w:rFonts w:ascii="Arial" w:cs="Arial" w:eastAsia="Arial" w:hAnsi="Arial"/>
          <w:sz w:val="14"/>
          <w:szCs w:val="14"/>
          <w:color w:val="auto"/>
        </w:rPr>
        <w:t>significant capital expenditures are required to replace our reserves and conduct our business;</w:t>
      </w:r>
    </w:p>
    <w:p>
      <w:pPr>
        <w:spacing w:after="0" w:line="14" w:lineRule="exact"/>
        <w:rPr>
          <w:rFonts w:ascii="Arial" w:cs="Arial" w:eastAsia="Arial" w:hAnsi="Arial"/>
          <w:sz w:val="14"/>
          <w:szCs w:val="14"/>
          <w:color w:val="auto"/>
        </w:rPr>
      </w:pPr>
    </w:p>
    <w:p>
      <w:pPr>
        <w:ind w:left="660" w:hanging="328"/>
        <w:spacing w:after="0"/>
        <w:tabs>
          <w:tab w:leader="none" w:pos="660"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ability to replace reserves and sustain production;</w:t>
      </w:r>
    </w:p>
    <w:p>
      <w:pPr>
        <w:spacing w:after="0" w:line="1" w:lineRule="exact"/>
        <w:rPr>
          <w:rFonts w:ascii="Arial" w:cs="Arial" w:eastAsia="Arial" w:hAnsi="Arial"/>
          <w:sz w:val="14"/>
          <w:szCs w:val="14"/>
          <w:color w:val="auto"/>
        </w:rPr>
      </w:pPr>
    </w:p>
    <w:p>
      <w:pPr>
        <w:ind w:left="660" w:hanging="328"/>
        <w:spacing w:after="0" w:line="251" w:lineRule="auto"/>
        <w:tabs>
          <w:tab w:leader="none" w:pos="656" w:val="left"/>
        </w:tabs>
        <w:numPr>
          <w:ilvl w:val="0"/>
          <w:numId w:val="4"/>
        </w:numPr>
        <w:rPr>
          <w:rFonts w:ascii="Arial" w:cs="Arial" w:eastAsia="Arial" w:hAnsi="Arial"/>
          <w:sz w:val="14"/>
          <w:szCs w:val="14"/>
          <w:color w:val="auto"/>
        </w:rPr>
      </w:pPr>
      <w:r>
        <w:rPr>
          <w:rFonts w:ascii="Arial" w:cs="Arial" w:eastAsia="Arial" w:hAnsi="Arial"/>
          <w:sz w:val="14"/>
          <w:szCs w:val="14"/>
          <w:color w:val="auto"/>
        </w:rPr>
        <w:t>uncertainties inherent in estimating quantities of natural gas, oil and NGL reserves and projecting future rates of production and the amount and timing of development expenditures;</w:t>
      </w:r>
    </w:p>
    <w:p>
      <w:pPr>
        <w:ind w:left="660" w:hanging="328"/>
        <w:spacing w:after="0"/>
        <w:tabs>
          <w:tab w:leader="none" w:pos="660" w:val="left"/>
        </w:tabs>
        <w:numPr>
          <w:ilvl w:val="0"/>
          <w:numId w:val="4"/>
        </w:numPr>
        <w:rPr>
          <w:rFonts w:ascii="Arial" w:cs="Arial" w:eastAsia="Arial" w:hAnsi="Arial"/>
          <w:sz w:val="14"/>
          <w:szCs w:val="14"/>
          <w:color w:val="auto"/>
        </w:rPr>
      </w:pPr>
      <w:r>
        <w:rPr>
          <w:rFonts w:ascii="Arial" w:cs="Arial" w:eastAsia="Arial" w:hAnsi="Arial"/>
          <w:sz w:val="14"/>
          <w:szCs w:val="14"/>
          <w:color w:val="auto"/>
        </w:rPr>
        <w:t>drilling and operating risks and resulting liabilities;</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ability to generate profits or achieve targeted results in drilling and well operations;</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4"/>
        </w:numPr>
        <w:rPr>
          <w:rFonts w:ascii="Arial" w:cs="Arial" w:eastAsia="Arial" w:hAnsi="Arial"/>
          <w:sz w:val="14"/>
          <w:szCs w:val="14"/>
          <w:color w:val="auto"/>
        </w:rPr>
      </w:pPr>
      <w:r>
        <w:rPr>
          <w:rFonts w:ascii="Arial" w:cs="Arial" w:eastAsia="Arial" w:hAnsi="Arial"/>
          <w:sz w:val="14"/>
          <w:szCs w:val="14"/>
          <w:color w:val="auto"/>
        </w:rPr>
        <w:t>leasehold terms expiring before production can be established;</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4"/>
        </w:numPr>
        <w:rPr>
          <w:rFonts w:ascii="Arial" w:cs="Arial" w:eastAsia="Arial" w:hAnsi="Arial"/>
          <w:sz w:val="14"/>
          <w:szCs w:val="14"/>
          <w:color w:val="auto"/>
        </w:rPr>
      </w:pPr>
      <w:r>
        <w:rPr>
          <w:rFonts w:ascii="Arial" w:cs="Arial" w:eastAsia="Arial" w:hAnsi="Arial"/>
          <w:sz w:val="14"/>
          <w:szCs w:val="14"/>
          <w:color w:val="auto"/>
        </w:rPr>
        <w:t>risks from our commodity price risk management activities;</w:t>
      </w:r>
    </w:p>
    <w:p>
      <w:pPr>
        <w:spacing w:after="0" w:line="14" w:lineRule="exact"/>
        <w:rPr>
          <w:rFonts w:ascii="Arial" w:cs="Arial" w:eastAsia="Arial" w:hAnsi="Arial"/>
          <w:sz w:val="14"/>
          <w:szCs w:val="14"/>
          <w:color w:val="auto"/>
        </w:rPr>
      </w:pPr>
    </w:p>
    <w:p>
      <w:pPr>
        <w:ind w:left="660" w:hanging="328"/>
        <w:spacing w:after="0"/>
        <w:tabs>
          <w:tab w:leader="none" w:pos="660" w:val="left"/>
        </w:tabs>
        <w:numPr>
          <w:ilvl w:val="0"/>
          <w:numId w:val="4"/>
        </w:numPr>
        <w:rPr>
          <w:rFonts w:ascii="Arial" w:cs="Arial" w:eastAsia="Arial" w:hAnsi="Arial"/>
          <w:sz w:val="14"/>
          <w:szCs w:val="14"/>
          <w:color w:val="auto"/>
        </w:rPr>
      </w:pPr>
      <w:r>
        <w:rPr>
          <w:rFonts w:ascii="Arial" w:cs="Arial" w:eastAsia="Arial" w:hAnsi="Arial"/>
          <w:sz w:val="14"/>
          <w:szCs w:val="14"/>
          <w:color w:val="auto"/>
        </w:rPr>
        <w:t>uncertainties, risks and costs associated with natural gas and oil operations;</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need to secure adequate supplies of water for our drilling operations and to dispose of or recycle the water used;</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4"/>
        </w:numPr>
        <w:rPr>
          <w:rFonts w:ascii="Arial" w:cs="Arial" w:eastAsia="Arial" w:hAnsi="Arial"/>
          <w:sz w:val="14"/>
          <w:szCs w:val="14"/>
          <w:color w:val="auto"/>
        </w:rPr>
      </w:pPr>
      <w:r>
        <w:rPr>
          <w:rFonts w:ascii="Arial" w:cs="Arial" w:eastAsia="Arial" w:hAnsi="Arial"/>
          <w:sz w:val="14"/>
          <w:szCs w:val="14"/>
          <w:color w:val="auto"/>
        </w:rPr>
        <w:t>pipeline and gathering system capacity constraints and transportation interruptions;</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4"/>
        </w:numPr>
        <w:rPr>
          <w:rFonts w:ascii="Arial" w:cs="Arial" w:eastAsia="Arial" w:hAnsi="Arial"/>
          <w:sz w:val="14"/>
          <w:szCs w:val="14"/>
          <w:color w:val="auto"/>
        </w:rPr>
      </w:pPr>
      <w:r>
        <w:rPr>
          <w:rFonts w:ascii="Arial" w:cs="Arial" w:eastAsia="Arial" w:hAnsi="Arial"/>
          <w:sz w:val="14"/>
          <w:szCs w:val="14"/>
          <w:color w:val="auto"/>
        </w:rPr>
        <w:t>risks related to our plans to participate in the global LNG value chain;</w:t>
      </w:r>
    </w:p>
    <w:p>
      <w:pPr>
        <w:spacing w:after="0" w:line="14" w:lineRule="exact"/>
        <w:rPr>
          <w:rFonts w:ascii="Arial" w:cs="Arial" w:eastAsia="Arial" w:hAnsi="Arial"/>
          <w:sz w:val="14"/>
          <w:szCs w:val="14"/>
          <w:color w:val="auto"/>
        </w:rPr>
      </w:pPr>
    </w:p>
    <w:p>
      <w:pPr>
        <w:ind w:left="660" w:hanging="328"/>
        <w:spacing w:after="0"/>
        <w:tabs>
          <w:tab w:leader="none" w:pos="660" w:val="left"/>
        </w:tabs>
        <w:numPr>
          <w:ilvl w:val="0"/>
          <w:numId w:val="4"/>
        </w:numPr>
        <w:rPr>
          <w:rFonts w:ascii="Arial" w:cs="Arial" w:eastAsia="Arial" w:hAnsi="Arial"/>
          <w:sz w:val="14"/>
          <w:szCs w:val="14"/>
          <w:color w:val="auto"/>
        </w:rPr>
      </w:pPr>
      <w:r>
        <w:rPr>
          <w:rFonts w:ascii="Arial" w:cs="Arial" w:eastAsia="Arial" w:hAnsi="Arial"/>
          <w:sz w:val="14"/>
          <w:szCs w:val="14"/>
          <w:color w:val="auto"/>
        </w:rPr>
        <w:t>terrorist activities and/or cyber-attacks adversely impacting our operations;</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4"/>
        </w:numPr>
        <w:rPr>
          <w:rFonts w:ascii="Arial" w:cs="Arial" w:eastAsia="Arial" w:hAnsi="Arial"/>
          <w:sz w:val="14"/>
          <w:szCs w:val="14"/>
          <w:color w:val="auto"/>
        </w:rPr>
      </w:pPr>
      <w:r>
        <w:rPr>
          <w:rFonts w:ascii="Arial" w:cs="Arial" w:eastAsia="Arial" w:hAnsi="Arial"/>
          <w:sz w:val="14"/>
          <w:szCs w:val="14"/>
          <w:color w:val="auto"/>
        </w:rPr>
        <w:t>risks from failure to protect personal information and data and compliance with data privacy and security laws and regulations;</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4"/>
        </w:numPr>
        <w:rPr>
          <w:rFonts w:ascii="Arial" w:cs="Arial" w:eastAsia="Arial" w:hAnsi="Arial"/>
          <w:sz w:val="14"/>
          <w:szCs w:val="14"/>
          <w:color w:val="auto"/>
        </w:rPr>
      </w:pPr>
      <w:r>
        <w:rPr>
          <w:rFonts w:ascii="Arial" w:cs="Arial" w:eastAsia="Arial" w:hAnsi="Arial"/>
          <w:sz w:val="14"/>
          <w:szCs w:val="14"/>
          <w:color w:val="auto"/>
        </w:rPr>
        <w:t>disruption of our business by natural or human causes beyond our control;</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4"/>
        </w:numPr>
        <w:rPr>
          <w:rFonts w:ascii="Arial" w:cs="Arial" w:eastAsia="Arial" w:hAnsi="Arial"/>
          <w:sz w:val="14"/>
          <w:szCs w:val="14"/>
          <w:color w:val="auto"/>
        </w:rPr>
      </w:pPr>
      <w:r>
        <w:rPr>
          <w:rFonts w:ascii="Arial" w:cs="Arial" w:eastAsia="Arial" w:hAnsi="Arial"/>
          <w:sz w:val="14"/>
          <w:szCs w:val="14"/>
          <w:color w:val="auto"/>
        </w:rPr>
        <w:t>a deterioration in general economic, business or industry conditions;</w:t>
      </w:r>
    </w:p>
    <w:p>
      <w:pPr>
        <w:spacing w:after="0" w:line="14" w:lineRule="exact"/>
        <w:rPr>
          <w:rFonts w:ascii="Arial" w:cs="Arial" w:eastAsia="Arial" w:hAnsi="Arial"/>
          <w:sz w:val="14"/>
          <w:szCs w:val="14"/>
          <w:color w:val="auto"/>
        </w:rPr>
      </w:pPr>
    </w:p>
    <w:p>
      <w:pPr>
        <w:jc w:val="both"/>
        <w:ind w:left="660" w:hanging="328"/>
        <w:spacing w:after="0" w:line="246" w:lineRule="auto"/>
        <w:tabs>
          <w:tab w:leader="none" w:pos="656"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impact of inflation and commodity price volatility, including as a result of decisions made by OPEC+ and armed conflict between Russia and Ukraine, instability in the Middle East due to the potential broadening of the military conflict between the U.S. and Iran beyond the Strait of Hormuz, instability in Venezuela, changes in China-Taiwan relations, along with the effects of the current global economic environment, on our business, financial condition, employees, contractors, vendors and the global demand for natural gas and oil and on U.S. and global financial markets;</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inability to access the capital markets on favorable terms;</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limitations on our financial flexibility due to our level of indebtedness and restrictive covenants from our indebtedness;</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4"/>
        </w:numPr>
        <w:rPr>
          <w:rFonts w:ascii="Arial" w:cs="Arial" w:eastAsia="Arial" w:hAnsi="Arial"/>
          <w:sz w:val="14"/>
          <w:szCs w:val="14"/>
          <w:color w:val="auto"/>
        </w:rPr>
      </w:pPr>
      <w:r>
        <w:rPr>
          <w:rFonts w:ascii="Arial" w:cs="Arial" w:eastAsia="Arial" w:hAnsi="Arial"/>
          <w:sz w:val="14"/>
          <w:szCs w:val="14"/>
          <w:color w:val="auto"/>
        </w:rPr>
        <w:t>challenges with employee recruitment and retention and an increasingly competitive labor market;</w:t>
      </w:r>
    </w:p>
    <w:p>
      <w:pPr>
        <w:spacing w:after="0" w:line="14" w:lineRule="exact"/>
        <w:rPr>
          <w:rFonts w:ascii="Arial" w:cs="Arial" w:eastAsia="Arial" w:hAnsi="Arial"/>
          <w:sz w:val="14"/>
          <w:szCs w:val="14"/>
          <w:color w:val="auto"/>
        </w:rPr>
      </w:pPr>
    </w:p>
    <w:p>
      <w:pPr>
        <w:ind w:left="660" w:hanging="328"/>
        <w:spacing w:after="0"/>
        <w:tabs>
          <w:tab w:leader="none" w:pos="660" w:val="left"/>
        </w:tabs>
        <w:numPr>
          <w:ilvl w:val="0"/>
          <w:numId w:val="4"/>
        </w:numPr>
        <w:rPr>
          <w:rFonts w:ascii="Arial" w:cs="Arial" w:eastAsia="Arial" w:hAnsi="Arial"/>
          <w:sz w:val="14"/>
          <w:szCs w:val="14"/>
          <w:color w:val="auto"/>
        </w:rPr>
      </w:pPr>
      <w:r>
        <w:rPr>
          <w:rFonts w:ascii="Arial" w:cs="Arial" w:eastAsia="Arial" w:hAnsi="Arial"/>
          <w:sz w:val="14"/>
          <w:szCs w:val="14"/>
          <w:color w:val="auto"/>
        </w:rPr>
        <w:t>risks related to acquisitions or dispositions, or potential acquisitions or dispositions;</w:t>
      </w:r>
    </w:p>
    <w:p>
      <w:pPr>
        <w:spacing w:after="0" w:line="1" w:lineRule="exact"/>
        <w:rPr>
          <w:rFonts w:ascii="Arial" w:cs="Arial" w:eastAsia="Arial" w:hAnsi="Arial"/>
          <w:sz w:val="14"/>
          <w:szCs w:val="14"/>
          <w:color w:val="auto"/>
        </w:rPr>
      </w:pPr>
    </w:p>
    <w:p>
      <w:pPr>
        <w:ind w:left="660" w:hanging="328"/>
        <w:spacing w:after="0" w:line="241" w:lineRule="auto"/>
        <w:tabs>
          <w:tab w:leader="none" w:pos="656" w:val="left"/>
        </w:tabs>
        <w:numPr>
          <w:ilvl w:val="0"/>
          <w:numId w:val="4"/>
        </w:numPr>
        <w:rPr>
          <w:rFonts w:ascii="Arial" w:cs="Arial" w:eastAsia="Arial" w:hAnsi="Arial"/>
          <w:sz w:val="14"/>
          <w:szCs w:val="14"/>
          <w:color w:val="auto"/>
        </w:rPr>
      </w:pPr>
      <w:r>
        <w:rPr>
          <w:rFonts w:ascii="Arial" w:cs="Arial" w:eastAsia="Arial" w:hAnsi="Arial"/>
          <w:sz w:val="14"/>
          <w:szCs w:val="14"/>
          <w:color w:val="auto"/>
        </w:rPr>
        <w:t>security threats, including cybersecurity threats and disruptions to our business and operations from breaches of our information technology systems, or from breaches of information technology systems of third parties with whom we transact business;</w:t>
      </w:r>
    </w:p>
    <w:p>
      <w:pPr>
        <w:ind w:left="660" w:hanging="328"/>
        <w:spacing w:after="0"/>
        <w:tabs>
          <w:tab w:leader="none" w:pos="660"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ability to achieve and maintain sustainability certifications, goals and commitments;</w:t>
      </w:r>
    </w:p>
    <w:p>
      <w:pPr>
        <w:spacing w:after="0" w:line="14" w:lineRule="exact"/>
        <w:rPr>
          <w:rFonts w:ascii="Arial" w:cs="Arial" w:eastAsia="Arial" w:hAnsi="Arial"/>
          <w:sz w:val="14"/>
          <w:szCs w:val="14"/>
          <w:color w:val="auto"/>
        </w:rPr>
      </w:pPr>
    </w:p>
    <w:p>
      <w:pPr>
        <w:ind w:left="660" w:right="20" w:hanging="328"/>
        <w:spacing w:after="0" w:line="264" w:lineRule="auto"/>
        <w:tabs>
          <w:tab w:leader="none" w:pos="656" w:val="left"/>
        </w:tabs>
        <w:numPr>
          <w:ilvl w:val="0"/>
          <w:numId w:val="4"/>
        </w:numPr>
        <w:rPr>
          <w:rFonts w:ascii="Arial" w:cs="Arial" w:eastAsia="Arial" w:hAnsi="Arial"/>
          <w:sz w:val="14"/>
          <w:szCs w:val="14"/>
          <w:color w:val="auto"/>
        </w:rPr>
      </w:pPr>
      <w:r>
        <w:rPr>
          <w:rFonts w:ascii="Arial" w:cs="Arial" w:eastAsia="Arial" w:hAnsi="Arial"/>
          <w:sz w:val="14"/>
          <w:szCs w:val="14"/>
          <w:color w:val="auto"/>
        </w:rPr>
        <w:t>environmental and sustainability legislation and regulatory initiatives, including those addressing the impact of climate change or further regulating hydraulic fracturing, greenhouse gas emissions, flaring or water disposal;</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240"/>
          </w:cols>
          <w:pgMar w:left="320" w:top="1440" w:right="339" w:bottom="1440" w:gutter="0" w:footer="0" w:header="0"/>
          <w:type w:val="continuous"/>
        </w:sectPr>
      </w:pPr>
    </w:p>
    <w:bookmarkStart w:id="6" w:name="page7"/>
    <w:bookmarkEnd w:id="6"/>
    <w:p>
      <w:pPr>
        <w:spacing w:after="0" w:line="392"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4"/>
          <w:szCs w:val="14"/>
          <w:color w:val="auto"/>
        </w:rPr>
      </w:pPr>
      <w:r>
        <w:rPr>
          <w:rFonts w:ascii="Arial" w:cs="Arial" w:eastAsia="Arial" w:hAnsi="Arial"/>
          <w:sz w:val="14"/>
          <w:szCs w:val="14"/>
          <w:color w:val="auto"/>
        </w:rPr>
        <w:t>federal and state tax proposals affecting our industry;</w:t>
      </w:r>
    </w:p>
    <w:p>
      <w:pPr>
        <w:spacing w:after="0" w:line="15" w:lineRule="exact"/>
        <w:rPr>
          <w:rFonts w:ascii="Arial" w:cs="Arial" w:eastAsia="Arial" w:hAnsi="Arial"/>
          <w:sz w:val="14"/>
          <w:szCs w:val="14"/>
          <w:color w:val="auto"/>
        </w:rPr>
      </w:pPr>
    </w:p>
    <w:p>
      <w:pPr>
        <w:jc w:val="both"/>
        <w:ind w:left="660" w:right="20" w:hanging="328"/>
        <w:spacing w:after="0" w:line="248" w:lineRule="auto"/>
        <w:tabs>
          <w:tab w:leader="none" w:pos="656" w:val="left"/>
        </w:tabs>
        <w:numPr>
          <w:ilvl w:val="0"/>
          <w:numId w:val="5"/>
        </w:numPr>
        <w:rPr>
          <w:rFonts w:ascii="Arial" w:cs="Arial" w:eastAsia="Arial" w:hAnsi="Arial"/>
          <w:sz w:val="14"/>
          <w:szCs w:val="14"/>
          <w:color w:val="auto"/>
        </w:rPr>
      </w:pPr>
      <w:r>
        <w:rPr>
          <w:rFonts w:ascii="Arial" w:cs="Arial" w:eastAsia="Arial" w:hAnsi="Arial"/>
          <w:sz w:val="14"/>
          <w:szCs w:val="14"/>
          <w:color w:val="auto"/>
        </w:rPr>
        <w:t>risks related to an annual limitation on the utilization of our tax attributes, which was triggered upon the completion of our merger with Southwestern Energy Company (“the Southwestern Merger”), as well as trading in our common stock, additional issuance of common stock, and certain other stock transactions, which could lead to an additional, potentially more restrictive, annual limitation;</w:t>
      </w:r>
    </w:p>
    <w:p>
      <w:pPr>
        <w:ind w:left="660" w:hanging="328"/>
        <w:spacing w:after="0" w:line="251" w:lineRule="auto"/>
        <w:tabs>
          <w:tab w:leader="none" w:pos="656"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results, effects and benefits of the Twin Eagle Acquisition, future opportunities for the Company, other plans with respect to the Twin Eagle Acquisition, and the anticipated impact of the Twin Eagle Acquisition on the Company’s results of operations, financial position, growth opportunities and competitive position;</w:t>
      </w:r>
    </w:p>
    <w:p>
      <w:pPr>
        <w:ind w:left="660" w:hanging="328"/>
        <w:spacing w:after="0"/>
        <w:tabs>
          <w:tab w:leader="none" w:pos="66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integration of acquisitions, including the Twin Eagle Acquisition; and</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5"/>
        </w:numPr>
        <w:rPr>
          <w:rFonts w:ascii="Arial" w:cs="Arial" w:eastAsia="Arial" w:hAnsi="Arial"/>
          <w:sz w:val="14"/>
          <w:szCs w:val="14"/>
          <w:color w:val="auto"/>
        </w:rPr>
      </w:pPr>
      <w:r>
        <w:rPr>
          <w:rFonts w:ascii="Arial" w:cs="Arial" w:eastAsia="Arial" w:hAnsi="Arial"/>
          <w:sz w:val="14"/>
          <w:szCs w:val="14"/>
          <w:color w:val="auto"/>
        </w:rPr>
        <w:t>other factors that are described under Risk Factors in Item 1A of our 2025 Form 10-K, as updated by our Form 10-Qs and other filings with the SEC.</w:t>
      </w:r>
    </w:p>
    <w:p>
      <w:pPr>
        <w:spacing w:after="0" w:line="232" w:lineRule="exact"/>
        <w:rPr>
          <w:sz w:val="20"/>
          <w:szCs w:val="20"/>
          <w:color w:val="auto"/>
        </w:rPr>
      </w:pPr>
    </w:p>
    <w:p>
      <w:pPr>
        <w:jc w:val="both"/>
        <w:spacing w:after="0" w:line="271" w:lineRule="auto"/>
        <w:rPr>
          <w:sz w:val="20"/>
          <w:szCs w:val="20"/>
          <w:color w:val="auto"/>
        </w:rPr>
      </w:pPr>
      <w:r>
        <w:rPr>
          <w:rFonts w:ascii="Arial" w:cs="Arial" w:eastAsia="Arial" w:hAnsi="Arial"/>
          <w:sz w:val="14"/>
          <w:szCs w:val="14"/>
          <w:i w:val="1"/>
          <w:iCs w:val="1"/>
          <w:color w:val="auto"/>
        </w:rPr>
        <w:t>We caution you not to place undue reliance on the forward-looking statements contained in this news release, which speak only as of the filing date, and we undertake no obligation and have no intention to update any forward-looking statement, except as required by law. We urge you to carefully review and consider the disclosures in this news release and our filings with the SEC that attempt to advise interested parties of the risks and factors that may affect our business.</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All forward-looking statements attributable to us are expressly qualified in their entirety by this cautionary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440" w:right="339" w:bottom="1440" w:gutter="0" w:footer="0" w:header="0"/>
        </w:sectPr>
      </w:pPr>
    </w:p>
    <w:bookmarkStart w:id="7" w:name="page8"/>
    <w:bookmarkEnd w:id="7"/>
    <w:p>
      <w:pPr>
        <w:ind w:left="20"/>
        <w:spacing w:after="0"/>
        <w:rPr>
          <w:sz w:val="20"/>
          <w:szCs w:val="20"/>
          <w:color w:val="auto"/>
        </w:rPr>
      </w:pPr>
      <w:r>
        <w:rPr>
          <w:rFonts w:ascii="Arial" w:cs="Arial" w:eastAsia="Arial" w:hAnsi="Arial"/>
          <w:sz w:val="18"/>
          <w:szCs w:val="18"/>
          <w:b w:val="1"/>
          <w:bCs w:val="1"/>
          <w:color w:val="00386C"/>
        </w:rPr>
        <w:t>CONDENSED CONSOLIDATED BALANCE SHEETS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8061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806190" cy="8255"/>
                    </a:xfrm>
                    <a:prstGeom prst="rect">
                      <a:avLst/>
                    </a:prstGeom>
                    <a:noFill/>
                  </pic:spPr>
                </pic:pic>
              </a:graphicData>
            </a:graphic>
          </wp:anchor>
        </w:drawing>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580" w:type="dxa"/>
            <w:vAlign w:val="bottom"/>
          </w:tcPr>
          <w:p>
            <w:pPr>
              <w:ind w:left="20"/>
              <w:spacing w:after="0"/>
              <w:rPr>
                <w:sz w:val="20"/>
                <w:szCs w:val="20"/>
                <w:color w:val="auto"/>
              </w:rPr>
            </w:pPr>
            <w:r>
              <w:rPr>
                <w:rFonts w:ascii="Arial" w:cs="Arial" w:eastAsia="Arial" w:hAnsi="Arial"/>
                <w:sz w:val="14"/>
                <w:szCs w:val="14"/>
                <w:i w:val="1"/>
                <w:iCs w:val="1"/>
                <w:color w:val="auto"/>
              </w:rPr>
              <w:t>($ in millions, except per share data)</w:t>
            </w:r>
          </w:p>
        </w:tc>
        <w:tc>
          <w:tcPr>
            <w:tcW w:w="280" w:type="dxa"/>
            <w:vAlign w:val="bottom"/>
          </w:tcPr>
          <w:p>
            <w:pPr>
              <w:spacing w:after="0"/>
              <w:rPr>
                <w:sz w:val="18"/>
                <w:szCs w:val="18"/>
                <w:color w:val="auto"/>
              </w:rPr>
            </w:pPr>
          </w:p>
        </w:tc>
        <w:tc>
          <w:tcPr>
            <w:tcW w:w="2220" w:type="dxa"/>
            <w:vAlign w:val="bottom"/>
            <w:gridSpan w:val="2"/>
          </w:tcPr>
          <w:p>
            <w:pPr>
              <w:ind w:left="160"/>
              <w:spacing w:after="0"/>
              <w:rPr>
                <w:sz w:val="20"/>
                <w:szCs w:val="20"/>
                <w:color w:val="auto"/>
              </w:rPr>
            </w:pPr>
            <w:r>
              <w:rPr>
                <w:rFonts w:ascii="Arial" w:cs="Arial" w:eastAsia="Arial" w:hAnsi="Arial"/>
                <w:sz w:val="16"/>
                <w:szCs w:val="16"/>
                <w:b w:val="1"/>
                <w:bCs w:val="1"/>
                <w:color w:val="auto"/>
              </w:rPr>
              <w:t>September 30, 2026</w:t>
            </w:r>
          </w:p>
        </w:tc>
        <w:tc>
          <w:tcPr>
            <w:tcW w:w="220" w:type="dxa"/>
            <w:vAlign w:val="bottom"/>
          </w:tcPr>
          <w:p>
            <w:pPr>
              <w:spacing w:after="0"/>
              <w:rPr>
                <w:sz w:val="18"/>
                <w:szCs w:val="18"/>
                <w:color w:val="auto"/>
              </w:rPr>
            </w:pPr>
          </w:p>
        </w:tc>
        <w:tc>
          <w:tcPr>
            <w:tcW w:w="1940" w:type="dxa"/>
            <w:vAlign w:val="bottom"/>
          </w:tcPr>
          <w:p>
            <w:pPr>
              <w:jc w:val="right"/>
              <w:ind w:right="279"/>
              <w:spacing w:after="0"/>
              <w:rPr>
                <w:sz w:val="20"/>
                <w:szCs w:val="20"/>
                <w:color w:val="auto"/>
              </w:rPr>
            </w:pPr>
            <w:r>
              <w:rPr>
                <w:rFonts w:ascii="Arial" w:cs="Arial" w:eastAsia="Arial" w:hAnsi="Arial"/>
                <w:sz w:val="16"/>
                <w:szCs w:val="16"/>
                <w:b w:val="1"/>
                <w:bCs w:val="1"/>
                <w:color w:val="auto"/>
              </w:rPr>
              <w:t>December 31, 2025</w:t>
            </w:r>
          </w:p>
        </w:tc>
        <w:tc>
          <w:tcPr>
            <w:tcW w:w="0" w:type="dxa"/>
            <w:vAlign w:val="bottom"/>
          </w:tcPr>
          <w:p>
            <w:pPr>
              <w:spacing w:after="0"/>
              <w:rPr>
                <w:sz w:val="1"/>
                <w:szCs w:val="1"/>
                <w:color w:val="auto"/>
              </w:rPr>
            </w:pPr>
          </w:p>
        </w:tc>
      </w:tr>
      <w:tr>
        <w:trPr>
          <w:trHeight w:val="196"/>
        </w:trPr>
        <w:tc>
          <w:tcPr>
            <w:tcW w:w="658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6"/>
                <w:szCs w:val="16"/>
                <w:b w:val="1"/>
                <w:bCs w:val="1"/>
                <w:color w:val="auto"/>
              </w:rPr>
              <w:t>Assets</w:t>
            </w:r>
          </w:p>
        </w:tc>
        <w:tc>
          <w:tcPr>
            <w:tcW w:w="280" w:type="dxa"/>
            <w:vAlign w:val="bottom"/>
            <w:tcBorders>
              <w:top w:val="single" w:sz="8" w:color="auto"/>
            </w:tcBorders>
            <w:shd w:val="clear" w:color="auto" w:fill="DBDBDB"/>
          </w:tcPr>
          <w:p>
            <w:pPr>
              <w:spacing w:after="0"/>
              <w:rPr>
                <w:sz w:val="17"/>
                <w:szCs w:val="17"/>
                <w:color w:val="auto"/>
              </w:rPr>
            </w:pPr>
          </w:p>
        </w:tc>
        <w:tc>
          <w:tcPr>
            <w:tcW w:w="2120" w:type="dxa"/>
            <w:vAlign w:val="bottom"/>
            <w:tcBorders>
              <w:top w:val="single" w:sz="8" w:color="auto"/>
            </w:tcBorders>
            <w:shd w:val="clear" w:color="auto" w:fill="DBDBDB"/>
          </w:tcPr>
          <w:p>
            <w:pPr>
              <w:spacing w:after="0"/>
              <w:rPr>
                <w:sz w:val="17"/>
                <w:szCs w:val="17"/>
                <w:color w:val="auto"/>
              </w:rPr>
            </w:pPr>
          </w:p>
        </w:tc>
        <w:tc>
          <w:tcPr>
            <w:tcW w:w="100" w:type="dxa"/>
            <w:vAlign w:val="bottom"/>
            <w:tcBorders>
              <w:top w:val="single" w:sz="8" w:color="DBDBDB"/>
            </w:tcBorders>
            <w:shd w:val="clear" w:color="auto" w:fill="DBDBDB"/>
          </w:tcPr>
          <w:p>
            <w:pPr>
              <w:spacing w:after="0"/>
              <w:rPr>
                <w:sz w:val="17"/>
                <w:szCs w:val="17"/>
                <w:color w:val="auto"/>
              </w:rPr>
            </w:pPr>
          </w:p>
        </w:tc>
        <w:tc>
          <w:tcPr>
            <w:tcW w:w="220" w:type="dxa"/>
            <w:vAlign w:val="bottom"/>
            <w:tcBorders>
              <w:top w:val="single" w:sz="8" w:color="auto"/>
            </w:tcBorders>
            <w:shd w:val="clear" w:color="auto" w:fill="DBDBDB"/>
          </w:tcPr>
          <w:p>
            <w:pPr>
              <w:spacing w:after="0"/>
              <w:rPr>
                <w:sz w:val="17"/>
                <w:szCs w:val="17"/>
                <w:color w:val="auto"/>
              </w:rPr>
            </w:pPr>
          </w:p>
        </w:tc>
        <w:tc>
          <w:tcPr>
            <w:tcW w:w="1940" w:type="dxa"/>
            <w:vAlign w:val="bottom"/>
            <w:tcBorders>
              <w:top w:val="single" w:sz="8" w:color="auto"/>
            </w:tcBorders>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58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580" w:type="dxa"/>
            <w:vAlign w:val="bottom"/>
            <w:shd w:val="clear" w:color="auto" w:fill="DBDBDB"/>
          </w:tcPr>
          <w:p>
            <w:pPr>
              <w:ind w:left="240"/>
              <w:spacing w:after="0"/>
              <w:rPr>
                <w:sz w:val="20"/>
                <w:szCs w:val="20"/>
                <w:color w:val="auto"/>
              </w:rPr>
            </w:pPr>
            <w:r>
              <w:rPr>
                <w:rFonts w:ascii="Arial" w:cs="Arial" w:eastAsia="Arial" w:hAnsi="Arial"/>
                <w:sz w:val="16"/>
                <w:szCs w:val="16"/>
                <w:color w:val="auto"/>
              </w:rPr>
              <w:t>Cash and cash equivalents</w:t>
            </w:r>
          </w:p>
        </w:tc>
        <w:tc>
          <w:tcPr>
            <w:tcW w:w="280" w:type="dxa"/>
            <w:vAlign w:val="bottom"/>
            <w:shd w:val="clear" w:color="auto" w:fill="DBDBDB"/>
          </w:tcPr>
          <w:p>
            <w:pPr>
              <w:jc w:val="right"/>
              <w:ind w:right="79"/>
              <w:spacing w:after="0"/>
              <w:rPr>
                <w:sz w:val="20"/>
                <w:szCs w:val="20"/>
                <w:color w:val="auto"/>
              </w:rPr>
            </w:pPr>
            <w:r>
              <w:rPr>
                <w:rFonts w:ascii="Arial" w:cs="Arial" w:eastAsia="Arial" w:hAnsi="Arial"/>
                <w:sz w:val="16"/>
                <w:szCs w:val="16"/>
                <w:color w:val="auto"/>
              </w:rPr>
              <w:t>$</w:t>
            </w:r>
          </w:p>
        </w:tc>
        <w:tc>
          <w:tcPr>
            <w:tcW w:w="2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118</w:t>
            </w:r>
          </w:p>
        </w:tc>
        <w:tc>
          <w:tcPr>
            <w:tcW w:w="100" w:type="dxa"/>
            <w:vAlign w:val="bottom"/>
            <w:shd w:val="clear" w:color="auto" w:fill="DBDBDB"/>
          </w:tcPr>
          <w:p>
            <w:pPr>
              <w:spacing w:after="0"/>
              <w:rPr>
                <w:sz w:val="18"/>
                <w:szCs w:val="18"/>
                <w:color w:val="auto"/>
              </w:rPr>
            </w:pPr>
          </w:p>
        </w:tc>
        <w:tc>
          <w:tcPr>
            <w:tcW w:w="220" w:type="dxa"/>
            <w:vAlign w:val="bottom"/>
            <w:shd w:val="clear" w:color="auto" w:fill="DBDBDB"/>
          </w:tcPr>
          <w:p>
            <w:pPr>
              <w:jc w:val="right"/>
              <w:ind w:right="39"/>
              <w:spacing w:after="0"/>
              <w:rPr>
                <w:sz w:val="20"/>
                <w:szCs w:val="20"/>
                <w:color w:val="auto"/>
              </w:rPr>
            </w:pPr>
            <w:r>
              <w:rPr>
                <w:rFonts w:ascii="Arial" w:cs="Arial" w:eastAsia="Arial" w:hAnsi="Arial"/>
                <w:sz w:val="16"/>
                <w:szCs w:val="16"/>
                <w:color w:val="auto"/>
                <w:w w:val="89"/>
              </w:rPr>
              <w:t>$</w:t>
            </w:r>
          </w:p>
        </w:tc>
        <w:tc>
          <w:tcPr>
            <w:tcW w:w="19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616</w:t>
            </w:r>
          </w:p>
        </w:tc>
        <w:tc>
          <w:tcPr>
            <w:tcW w:w="0" w:type="dxa"/>
            <w:vAlign w:val="bottom"/>
          </w:tcPr>
          <w:p>
            <w:pPr>
              <w:spacing w:after="0"/>
              <w:rPr>
                <w:sz w:val="1"/>
                <w:szCs w:val="1"/>
                <w:color w:val="auto"/>
              </w:rPr>
            </w:pPr>
          </w:p>
        </w:tc>
      </w:tr>
      <w:tr>
        <w:trPr>
          <w:trHeight w:val="215"/>
        </w:trPr>
        <w:tc>
          <w:tcPr>
            <w:tcW w:w="6580" w:type="dxa"/>
            <w:vAlign w:val="bottom"/>
          </w:tcPr>
          <w:p>
            <w:pPr>
              <w:ind w:left="240"/>
              <w:spacing w:after="0"/>
              <w:rPr>
                <w:sz w:val="20"/>
                <w:szCs w:val="20"/>
                <w:color w:val="auto"/>
              </w:rPr>
            </w:pPr>
            <w:r>
              <w:rPr>
                <w:rFonts w:ascii="Arial" w:cs="Arial" w:eastAsia="Arial" w:hAnsi="Arial"/>
                <w:sz w:val="16"/>
                <w:szCs w:val="16"/>
                <w:color w:val="auto"/>
              </w:rPr>
              <w:t>Restricted cash</w:t>
            </w:r>
          </w:p>
        </w:tc>
        <w:tc>
          <w:tcPr>
            <w:tcW w:w="28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17"/>
        </w:trPr>
        <w:tc>
          <w:tcPr>
            <w:tcW w:w="6580" w:type="dxa"/>
            <w:vAlign w:val="bottom"/>
            <w:shd w:val="clear" w:color="auto" w:fill="DBDBDB"/>
          </w:tcPr>
          <w:p>
            <w:pPr>
              <w:ind w:left="240"/>
              <w:spacing w:after="0"/>
              <w:rPr>
                <w:sz w:val="20"/>
                <w:szCs w:val="20"/>
                <w:color w:val="auto"/>
              </w:rPr>
            </w:pPr>
            <w:r>
              <w:rPr>
                <w:rFonts w:ascii="Arial" w:cs="Arial" w:eastAsia="Arial" w:hAnsi="Arial"/>
                <w:sz w:val="16"/>
                <w:szCs w:val="16"/>
                <w:color w:val="auto"/>
              </w:rPr>
              <w:t>Accounts receivable, net</w:t>
            </w:r>
          </w:p>
        </w:tc>
        <w:tc>
          <w:tcPr>
            <w:tcW w:w="280" w:type="dxa"/>
            <w:vAlign w:val="bottom"/>
            <w:shd w:val="clear" w:color="auto" w:fill="DBDBDB"/>
          </w:tcPr>
          <w:p>
            <w:pPr>
              <w:spacing w:after="0"/>
              <w:rPr>
                <w:sz w:val="18"/>
                <w:szCs w:val="18"/>
                <w:color w:val="auto"/>
              </w:rPr>
            </w:pPr>
          </w:p>
        </w:tc>
        <w:tc>
          <w:tcPr>
            <w:tcW w:w="2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1,389</w:t>
            </w:r>
          </w:p>
        </w:tc>
        <w:tc>
          <w:tcPr>
            <w:tcW w:w="10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19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1,599</w:t>
            </w:r>
          </w:p>
        </w:tc>
        <w:tc>
          <w:tcPr>
            <w:tcW w:w="0" w:type="dxa"/>
            <w:vAlign w:val="bottom"/>
          </w:tcPr>
          <w:p>
            <w:pPr>
              <w:spacing w:after="0"/>
              <w:rPr>
                <w:sz w:val="1"/>
                <w:szCs w:val="1"/>
                <w:color w:val="auto"/>
              </w:rPr>
            </w:pPr>
          </w:p>
        </w:tc>
      </w:tr>
      <w:tr>
        <w:trPr>
          <w:trHeight w:val="215"/>
        </w:trPr>
        <w:tc>
          <w:tcPr>
            <w:tcW w:w="6580" w:type="dxa"/>
            <w:vAlign w:val="bottom"/>
          </w:tcPr>
          <w:p>
            <w:pPr>
              <w:ind w:left="240"/>
              <w:spacing w:after="0"/>
              <w:rPr>
                <w:sz w:val="20"/>
                <w:szCs w:val="20"/>
                <w:color w:val="auto"/>
              </w:rPr>
            </w:pPr>
            <w:r>
              <w:rPr>
                <w:rFonts w:ascii="Arial" w:cs="Arial" w:eastAsia="Arial" w:hAnsi="Arial"/>
                <w:sz w:val="16"/>
                <w:szCs w:val="16"/>
                <w:color w:val="auto"/>
              </w:rPr>
              <w:t>Derivative assets</w:t>
            </w:r>
          </w:p>
        </w:tc>
        <w:tc>
          <w:tcPr>
            <w:tcW w:w="28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889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264</w:t>
            </w:r>
          </w:p>
        </w:tc>
        <w:tc>
          <w:tcPr>
            <w:tcW w:w="0" w:type="dxa"/>
            <w:vAlign w:val="bottom"/>
          </w:tcPr>
          <w:p>
            <w:pPr>
              <w:spacing w:after="0"/>
              <w:rPr>
                <w:sz w:val="1"/>
                <w:szCs w:val="1"/>
                <w:color w:val="auto"/>
              </w:rPr>
            </w:pPr>
          </w:p>
        </w:tc>
      </w:tr>
      <w:tr>
        <w:trPr>
          <w:trHeight w:val="217"/>
        </w:trPr>
        <w:tc>
          <w:tcPr>
            <w:tcW w:w="6580" w:type="dxa"/>
            <w:vAlign w:val="bottom"/>
            <w:shd w:val="clear" w:color="auto" w:fill="DBDBDB"/>
          </w:tcPr>
          <w:p>
            <w:pPr>
              <w:ind w:left="240"/>
              <w:spacing w:after="0"/>
              <w:rPr>
                <w:sz w:val="20"/>
                <w:szCs w:val="20"/>
                <w:color w:val="auto"/>
              </w:rPr>
            </w:pPr>
            <w:r>
              <w:rPr>
                <w:rFonts w:ascii="Arial" w:cs="Arial" w:eastAsia="Arial" w:hAnsi="Arial"/>
                <w:sz w:val="16"/>
                <w:szCs w:val="16"/>
                <w:color w:val="auto"/>
              </w:rPr>
              <w:t>Other current assets</w:t>
            </w:r>
          </w:p>
        </w:tc>
        <w:tc>
          <w:tcPr>
            <w:tcW w:w="280" w:type="dxa"/>
            <w:vAlign w:val="bottom"/>
            <w:tcBorders>
              <w:bottom w:val="single" w:sz="8" w:color="auto"/>
            </w:tcBorders>
            <w:shd w:val="clear" w:color="auto" w:fill="DBDBDB"/>
          </w:tcPr>
          <w:p>
            <w:pPr>
              <w:spacing w:after="0"/>
              <w:rPr>
                <w:sz w:val="18"/>
                <w:szCs w:val="18"/>
                <w:color w:val="auto"/>
              </w:rPr>
            </w:pPr>
          </w:p>
        </w:tc>
        <w:tc>
          <w:tcPr>
            <w:tcW w:w="2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597</w:t>
            </w:r>
          </w:p>
        </w:tc>
        <w:tc>
          <w:tcPr>
            <w:tcW w:w="100" w:type="dxa"/>
            <w:vAlign w:val="bottom"/>
            <w:shd w:val="clear" w:color="auto" w:fill="DBDBDB"/>
          </w:tcPr>
          <w:p>
            <w:pPr>
              <w:spacing w:after="0"/>
              <w:rPr>
                <w:sz w:val="18"/>
                <w:szCs w:val="18"/>
                <w:color w:val="auto"/>
              </w:rPr>
            </w:pPr>
          </w:p>
        </w:tc>
        <w:tc>
          <w:tcPr>
            <w:tcW w:w="220" w:type="dxa"/>
            <w:vAlign w:val="bottom"/>
            <w:tcBorders>
              <w:bottom w:val="single" w:sz="8" w:color="auto"/>
            </w:tcBorders>
            <w:shd w:val="clear" w:color="auto" w:fill="DBDBDB"/>
          </w:tcPr>
          <w:p>
            <w:pPr>
              <w:spacing w:after="0"/>
              <w:rPr>
                <w:sz w:val="18"/>
                <w:szCs w:val="18"/>
                <w:color w:val="auto"/>
              </w:rPr>
            </w:pPr>
          </w:p>
        </w:tc>
        <w:tc>
          <w:tcPr>
            <w:tcW w:w="1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357</w:t>
            </w:r>
          </w:p>
        </w:tc>
        <w:tc>
          <w:tcPr>
            <w:tcW w:w="0" w:type="dxa"/>
            <w:vAlign w:val="bottom"/>
          </w:tcPr>
          <w:p>
            <w:pPr>
              <w:spacing w:after="0"/>
              <w:rPr>
                <w:sz w:val="1"/>
                <w:szCs w:val="1"/>
                <w:color w:val="auto"/>
              </w:rPr>
            </w:pPr>
          </w:p>
        </w:tc>
      </w:tr>
      <w:tr>
        <w:trPr>
          <w:trHeight w:val="209"/>
        </w:trPr>
        <w:tc>
          <w:tcPr>
            <w:tcW w:w="6580" w:type="dxa"/>
            <w:vAlign w:val="bottom"/>
          </w:tcPr>
          <w:p>
            <w:pPr>
              <w:ind w:left="560"/>
              <w:spacing w:after="0"/>
              <w:rPr>
                <w:sz w:val="20"/>
                <w:szCs w:val="20"/>
                <w:color w:val="auto"/>
              </w:rPr>
            </w:pPr>
            <w:r>
              <w:rPr>
                <w:rFonts w:ascii="Arial" w:cs="Arial" w:eastAsia="Arial" w:hAnsi="Arial"/>
                <w:sz w:val="16"/>
                <w:szCs w:val="16"/>
                <w:color w:val="auto"/>
              </w:rPr>
              <w:t>Total current assets</w:t>
            </w:r>
          </w:p>
        </w:tc>
        <w:tc>
          <w:tcPr>
            <w:tcW w:w="28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3,096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2,916</w:t>
            </w:r>
          </w:p>
        </w:tc>
        <w:tc>
          <w:tcPr>
            <w:tcW w:w="0" w:type="dxa"/>
            <w:vAlign w:val="bottom"/>
          </w:tcPr>
          <w:p>
            <w:pPr>
              <w:spacing w:after="0"/>
              <w:rPr>
                <w:sz w:val="1"/>
                <w:szCs w:val="1"/>
                <w:color w:val="auto"/>
              </w:rPr>
            </w:pPr>
          </w:p>
        </w:tc>
      </w:tr>
      <w:tr>
        <w:trPr>
          <w:trHeight w:val="217"/>
        </w:trPr>
        <w:tc>
          <w:tcPr>
            <w:tcW w:w="6580" w:type="dxa"/>
            <w:vAlign w:val="bottom"/>
            <w:shd w:val="clear" w:color="auto" w:fill="DBDBDB"/>
          </w:tcPr>
          <w:p>
            <w:pPr>
              <w:ind w:left="20"/>
              <w:spacing w:after="0"/>
              <w:rPr>
                <w:sz w:val="20"/>
                <w:szCs w:val="20"/>
                <w:color w:val="auto"/>
              </w:rPr>
            </w:pPr>
            <w:r>
              <w:rPr>
                <w:rFonts w:ascii="Arial" w:cs="Arial" w:eastAsia="Arial" w:hAnsi="Arial"/>
                <w:sz w:val="16"/>
                <w:szCs w:val="16"/>
                <w:color w:val="auto"/>
              </w:rPr>
              <w:t>Property and equipment:</w:t>
            </w:r>
          </w:p>
        </w:tc>
        <w:tc>
          <w:tcPr>
            <w:tcW w:w="280" w:type="dxa"/>
            <w:vAlign w:val="bottom"/>
            <w:shd w:val="clear" w:color="auto" w:fill="DBDBDB"/>
          </w:tcPr>
          <w:p>
            <w:pPr>
              <w:spacing w:after="0"/>
              <w:rPr>
                <w:sz w:val="18"/>
                <w:szCs w:val="18"/>
                <w:color w:val="auto"/>
              </w:rPr>
            </w:pPr>
          </w:p>
        </w:tc>
        <w:tc>
          <w:tcPr>
            <w:tcW w:w="21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194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580" w:type="dxa"/>
            <w:vAlign w:val="bottom"/>
          </w:tcPr>
          <w:p>
            <w:pPr>
              <w:ind w:left="360"/>
              <w:spacing w:after="0"/>
              <w:rPr>
                <w:sz w:val="20"/>
                <w:szCs w:val="20"/>
                <w:color w:val="auto"/>
              </w:rPr>
            </w:pPr>
            <w:r>
              <w:rPr>
                <w:rFonts w:ascii="Arial" w:cs="Arial" w:eastAsia="Arial" w:hAnsi="Arial"/>
                <w:sz w:val="16"/>
                <w:szCs w:val="16"/>
                <w:color w:val="auto"/>
              </w:rPr>
              <w:t>Natural gas and oil properties, successful efforts method</w:t>
            </w:r>
          </w:p>
        </w:tc>
        <w:tc>
          <w:tcPr>
            <w:tcW w:w="2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580" w:type="dxa"/>
            <w:vAlign w:val="bottom"/>
            <w:shd w:val="clear" w:color="auto" w:fill="DBDBDB"/>
          </w:tcPr>
          <w:p>
            <w:pPr>
              <w:ind w:left="460"/>
              <w:spacing w:after="0"/>
              <w:rPr>
                <w:sz w:val="20"/>
                <w:szCs w:val="20"/>
                <w:color w:val="auto"/>
              </w:rPr>
            </w:pPr>
            <w:r>
              <w:rPr>
                <w:rFonts w:ascii="Arial" w:cs="Arial" w:eastAsia="Arial" w:hAnsi="Arial"/>
                <w:sz w:val="16"/>
                <w:szCs w:val="16"/>
                <w:color w:val="auto"/>
              </w:rPr>
              <w:t>Proved natural gas and oil properties</w:t>
            </w:r>
          </w:p>
        </w:tc>
        <w:tc>
          <w:tcPr>
            <w:tcW w:w="280" w:type="dxa"/>
            <w:vAlign w:val="bottom"/>
            <w:shd w:val="clear" w:color="auto" w:fill="DBDBDB"/>
          </w:tcPr>
          <w:p>
            <w:pPr>
              <w:spacing w:after="0"/>
              <w:rPr>
                <w:sz w:val="18"/>
                <w:szCs w:val="18"/>
                <w:color w:val="auto"/>
              </w:rPr>
            </w:pPr>
          </w:p>
        </w:tc>
        <w:tc>
          <w:tcPr>
            <w:tcW w:w="2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28,827</w:t>
            </w:r>
          </w:p>
        </w:tc>
        <w:tc>
          <w:tcPr>
            <w:tcW w:w="10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19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26,606</w:t>
            </w:r>
          </w:p>
        </w:tc>
        <w:tc>
          <w:tcPr>
            <w:tcW w:w="0" w:type="dxa"/>
            <w:vAlign w:val="bottom"/>
          </w:tcPr>
          <w:p>
            <w:pPr>
              <w:spacing w:after="0"/>
              <w:rPr>
                <w:sz w:val="1"/>
                <w:szCs w:val="1"/>
                <w:color w:val="auto"/>
              </w:rPr>
            </w:pPr>
          </w:p>
        </w:tc>
      </w:tr>
      <w:tr>
        <w:trPr>
          <w:trHeight w:val="215"/>
        </w:trPr>
        <w:tc>
          <w:tcPr>
            <w:tcW w:w="6580" w:type="dxa"/>
            <w:vAlign w:val="bottom"/>
          </w:tcPr>
          <w:p>
            <w:pPr>
              <w:ind w:left="460"/>
              <w:spacing w:after="0"/>
              <w:rPr>
                <w:sz w:val="20"/>
                <w:szCs w:val="20"/>
                <w:color w:val="auto"/>
              </w:rPr>
            </w:pPr>
            <w:r>
              <w:rPr>
                <w:rFonts w:ascii="Arial" w:cs="Arial" w:eastAsia="Arial" w:hAnsi="Arial"/>
                <w:sz w:val="16"/>
                <w:szCs w:val="16"/>
                <w:color w:val="auto"/>
              </w:rPr>
              <w:t>Unproved properties</w:t>
            </w:r>
          </w:p>
        </w:tc>
        <w:tc>
          <w:tcPr>
            <w:tcW w:w="28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5,523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5,478</w:t>
            </w:r>
          </w:p>
        </w:tc>
        <w:tc>
          <w:tcPr>
            <w:tcW w:w="0" w:type="dxa"/>
            <w:vAlign w:val="bottom"/>
          </w:tcPr>
          <w:p>
            <w:pPr>
              <w:spacing w:after="0"/>
              <w:rPr>
                <w:sz w:val="1"/>
                <w:szCs w:val="1"/>
                <w:color w:val="auto"/>
              </w:rPr>
            </w:pPr>
          </w:p>
        </w:tc>
      </w:tr>
      <w:tr>
        <w:trPr>
          <w:trHeight w:val="217"/>
        </w:trPr>
        <w:tc>
          <w:tcPr>
            <w:tcW w:w="6580" w:type="dxa"/>
            <w:vAlign w:val="bottom"/>
            <w:shd w:val="clear" w:color="auto" w:fill="DBDBDB"/>
          </w:tcPr>
          <w:p>
            <w:pPr>
              <w:ind w:left="460"/>
              <w:spacing w:after="0"/>
              <w:rPr>
                <w:sz w:val="20"/>
                <w:szCs w:val="20"/>
                <w:color w:val="auto"/>
              </w:rPr>
            </w:pPr>
            <w:r>
              <w:rPr>
                <w:rFonts w:ascii="Arial" w:cs="Arial" w:eastAsia="Arial" w:hAnsi="Arial"/>
                <w:sz w:val="16"/>
                <w:szCs w:val="16"/>
                <w:color w:val="auto"/>
              </w:rPr>
              <w:t>Other property and equipment</w:t>
            </w:r>
          </w:p>
        </w:tc>
        <w:tc>
          <w:tcPr>
            <w:tcW w:w="280" w:type="dxa"/>
            <w:vAlign w:val="bottom"/>
            <w:tcBorders>
              <w:bottom w:val="single" w:sz="8" w:color="auto"/>
            </w:tcBorders>
            <w:shd w:val="clear" w:color="auto" w:fill="DBDBDB"/>
          </w:tcPr>
          <w:p>
            <w:pPr>
              <w:spacing w:after="0"/>
              <w:rPr>
                <w:sz w:val="18"/>
                <w:szCs w:val="18"/>
                <w:color w:val="auto"/>
              </w:rPr>
            </w:pPr>
          </w:p>
        </w:tc>
        <w:tc>
          <w:tcPr>
            <w:tcW w:w="2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555</w:t>
            </w:r>
          </w:p>
        </w:tc>
        <w:tc>
          <w:tcPr>
            <w:tcW w:w="100" w:type="dxa"/>
            <w:vAlign w:val="bottom"/>
            <w:shd w:val="clear" w:color="auto" w:fill="DBDBDB"/>
          </w:tcPr>
          <w:p>
            <w:pPr>
              <w:spacing w:after="0"/>
              <w:rPr>
                <w:sz w:val="18"/>
                <w:szCs w:val="18"/>
                <w:color w:val="auto"/>
              </w:rPr>
            </w:pPr>
          </w:p>
        </w:tc>
        <w:tc>
          <w:tcPr>
            <w:tcW w:w="220" w:type="dxa"/>
            <w:vAlign w:val="bottom"/>
            <w:tcBorders>
              <w:bottom w:val="single" w:sz="8" w:color="auto"/>
            </w:tcBorders>
            <w:shd w:val="clear" w:color="auto" w:fill="DBDBDB"/>
          </w:tcPr>
          <w:p>
            <w:pPr>
              <w:spacing w:after="0"/>
              <w:rPr>
                <w:sz w:val="18"/>
                <w:szCs w:val="18"/>
                <w:color w:val="auto"/>
              </w:rPr>
            </w:pPr>
          </w:p>
        </w:tc>
        <w:tc>
          <w:tcPr>
            <w:tcW w:w="1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509</w:t>
            </w:r>
          </w:p>
        </w:tc>
        <w:tc>
          <w:tcPr>
            <w:tcW w:w="0" w:type="dxa"/>
            <w:vAlign w:val="bottom"/>
          </w:tcPr>
          <w:p>
            <w:pPr>
              <w:spacing w:after="0"/>
              <w:rPr>
                <w:sz w:val="1"/>
                <w:szCs w:val="1"/>
                <w:color w:val="auto"/>
              </w:rPr>
            </w:pPr>
          </w:p>
        </w:tc>
      </w:tr>
      <w:tr>
        <w:trPr>
          <w:trHeight w:val="209"/>
        </w:trPr>
        <w:tc>
          <w:tcPr>
            <w:tcW w:w="6580" w:type="dxa"/>
            <w:vAlign w:val="bottom"/>
            <w:tcBorders>
              <w:bottom w:val="single" w:sz="8" w:color="DBDBDB"/>
            </w:tcBorders>
          </w:tcPr>
          <w:p>
            <w:pPr>
              <w:ind w:left="560"/>
              <w:spacing w:after="0"/>
              <w:rPr>
                <w:sz w:val="20"/>
                <w:szCs w:val="20"/>
                <w:color w:val="auto"/>
              </w:rPr>
            </w:pPr>
            <w:r>
              <w:rPr>
                <w:rFonts w:ascii="Arial" w:cs="Arial" w:eastAsia="Arial" w:hAnsi="Arial"/>
                <w:sz w:val="16"/>
                <w:szCs w:val="16"/>
                <w:color w:val="auto"/>
              </w:rPr>
              <w:t>Total property and equipment</w:t>
            </w:r>
          </w:p>
        </w:tc>
        <w:tc>
          <w:tcPr>
            <w:tcW w:w="28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34,905</w:t>
            </w:r>
          </w:p>
        </w:tc>
        <w:tc>
          <w:tcPr>
            <w:tcW w:w="100" w:type="dxa"/>
            <w:vAlign w:val="bottom"/>
            <w:tcBorders>
              <w:bottom w:val="single" w:sz="8" w:color="DBDBDB"/>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32,593</w:t>
            </w:r>
          </w:p>
        </w:tc>
        <w:tc>
          <w:tcPr>
            <w:tcW w:w="0" w:type="dxa"/>
            <w:vAlign w:val="bottom"/>
          </w:tcPr>
          <w:p>
            <w:pPr>
              <w:spacing w:after="0"/>
              <w:rPr>
                <w:sz w:val="1"/>
                <w:szCs w:val="1"/>
                <w:color w:val="auto"/>
              </w:rPr>
            </w:pPr>
          </w:p>
        </w:tc>
      </w:tr>
      <w:tr>
        <w:trPr>
          <w:trHeight w:val="210"/>
        </w:trPr>
        <w:tc>
          <w:tcPr>
            <w:tcW w:w="6580" w:type="dxa"/>
            <w:vAlign w:val="bottom"/>
            <w:shd w:val="clear" w:color="auto" w:fill="DBDBDB"/>
          </w:tcPr>
          <w:p>
            <w:pPr>
              <w:ind w:left="240"/>
              <w:spacing w:after="0"/>
              <w:rPr>
                <w:sz w:val="20"/>
                <w:szCs w:val="20"/>
                <w:color w:val="auto"/>
              </w:rPr>
            </w:pPr>
            <w:r>
              <w:rPr>
                <w:rFonts w:ascii="Arial" w:cs="Arial" w:eastAsia="Arial" w:hAnsi="Arial"/>
                <w:sz w:val="16"/>
                <w:szCs w:val="16"/>
                <w:color w:val="auto"/>
              </w:rPr>
              <w:t>Less: accumulated depreciation, depletion and amortization</w:t>
            </w:r>
          </w:p>
        </w:tc>
        <w:tc>
          <w:tcPr>
            <w:tcW w:w="280" w:type="dxa"/>
            <w:vAlign w:val="bottom"/>
            <w:shd w:val="clear" w:color="auto" w:fill="DBDBDB"/>
          </w:tcPr>
          <w:p>
            <w:pPr>
              <w:spacing w:after="0"/>
              <w:rPr>
                <w:sz w:val="18"/>
                <w:szCs w:val="18"/>
                <w:color w:val="auto"/>
              </w:rPr>
            </w:pPr>
          </w:p>
        </w:tc>
        <w:tc>
          <w:tcPr>
            <w:tcW w:w="2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(10,423)</w:t>
            </w:r>
          </w:p>
        </w:tc>
        <w:tc>
          <w:tcPr>
            <w:tcW w:w="10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19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(8,278)</w:t>
            </w:r>
          </w:p>
        </w:tc>
        <w:tc>
          <w:tcPr>
            <w:tcW w:w="0" w:type="dxa"/>
            <w:vAlign w:val="bottom"/>
          </w:tcPr>
          <w:p>
            <w:pPr>
              <w:spacing w:after="0"/>
              <w:rPr>
                <w:sz w:val="1"/>
                <w:szCs w:val="1"/>
                <w:color w:val="auto"/>
              </w:rPr>
            </w:pPr>
          </w:p>
        </w:tc>
      </w:tr>
      <w:tr>
        <w:trPr>
          <w:trHeight w:val="215"/>
        </w:trPr>
        <w:tc>
          <w:tcPr>
            <w:tcW w:w="6580" w:type="dxa"/>
            <w:vAlign w:val="bottom"/>
          </w:tcPr>
          <w:p>
            <w:pPr>
              <w:ind w:left="240"/>
              <w:spacing w:after="0"/>
              <w:rPr>
                <w:sz w:val="20"/>
                <w:szCs w:val="20"/>
                <w:color w:val="auto"/>
              </w:rPr>
            </w:pPr>
            <w:r>
              <w:rPr>
                <w:rFonts w:ascii="Arial" w:cs="Arial" w:eastAsia="Arial" w:hAnsi="Arial"/>
                <w:sz w:val="16"/>
                <w:szCs w:val="16"/>
                <w:color w:val="auto"/>
              </w:rPr>
              <w:t>Property and equipment held for sale, net</w:t>
            </w:r>
          </w:p>
        </w:tc>
        <w:tc>
          <w:tcPr>
            <w:tcW w:w="280" w:type="dxa"/>
            <w:vAlign w:val="bottom"/>
          </w:tcPr>
          <w:p>
            <w:pPr>
              <w:spacing w:after="0"/>
              <w:rPr>
                <w:sz w:val="18"/>
                <w:szCs w:val="18"/>
                <w:color w:val="auto"/>
              </w:rPr>
            </w:pPr>
          </w:p>
        </w:tc>
        <w:tc>
          <w:tcPr>
            <w:tcW w:w="2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10"/>
        </w:trPr>
        <w:tc>
          <w:tcPr>
            <w:tcW w:w="6580" w:type="dxa"/>
            <w:vAlign w:val="bottom"/>
            <w:tcBorders>
              <w:top w:val="single" w:sz="8" w:color="DBDBDB"/>
            </w:tcBorders>
            <w:shd w:val="clear" w:color="auto" w:fill="DBDBDB"/>
          </w:tcPr>
          <w:p>
            <w:pPr>
              <w:ind w:left="560"/>
              <w:spacing w:after="0"/>
              <w:rPr>
                <w:sz w:val="20"/>
                <w:szCs w:val="20"/>
                <w:color w:val="auto"/>
              </w:rPr>
            </w:pPr>
            <w:r>
              <w:rPr>
                <w:rFonts w:ascii="Arial" w:cs="Arial" w:eastAsia="Arial" w:hAnsi="Arial"/>
                <w:sz w:val="16"/>
                <w:szCs w:val="16"/>
                <w:color w:val="auto"/>
              </w:rPr>
              <w:t>Total property and equipment, net</w:t>
            </w:r>
          </w:p>
        </w:tc>
        <w:tc>
          <w:tcPr>
            <w:tcW w:w="280" w:type="dxa"/>
            <w:vAlign w:val="bottom"/>
            <w:tcBorders>
              <w:top w:val="single" w:sz="8" w:color="auto"/>
              <w:bottom w:val="single" w:sz="8" w:color="auto"/>
            </w:tcBorders>
            <w:shd w:val="clear" w:color="auto" w:fill="DBDBDB"/>
          </w:tcPr>
          <w:p>
            <w:pPr>
              <w:spacing w:after="0"/>
              <w:rPr>
                <w:sz w:val="18"/>
                <w:szCs w:val="18"/>
                <w:color w:val="auto"/>
              </w:rPr>
            </w:pPr>
          </w:p>
        </w:tc>
        <w:tc>
          <w:tcPr>
            <w:tcW w:w="21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24,482</w:t>
            </w:r>
          </w:p>
        </w:tc>
        <w:tc>
          <w:tcPr>
            <w:tcW w:w="100" w:type="dxa"/>
            <w:vAlign w:val="bottom"/>
            <w:tcBorders>
              <w:top w:val="single" w:sz="8" w:color="DBDBDB"/>
            </w:tcBorders>
            <w:shd w:val="clear" w:color="auto" w:fill="DBDBDB"/>
          </w:tcPr>
          <w:p>
            <w:pPr>
              <w:spacing w:after="0"/>
              <w:rPr>
                <w:sz w:val="18"/>
                <w:szCs w:val="18"/>
                <w:color w:val="auto"/>
              </w:rPr>
            </w:pPr>
          </w:p>
        </w:tc>
        <w:tc>
          <w:tcPr>
            <w:tcW w:w="220" w:type="dxa"/>
            <w:vAlign w:val="bottom"/>
            <w:tcBorders>
              <w:top w:val="single" w:sz="8" w:color="auto"/>
              <w:bottom w:val="single" w:sz="8" w:color="auto"/>
            </w:tcBorders>
            <w:shd w:val="clear" w:color="auto" w:fill="DBDBDB"/>
          </w:tcPr>
          <w:p>
            <w:pPr>
              <w:spacing w:after="0"/>
              <w:rPr>
                <w:sz w:val="18"/>
                <w:szCs w:val="18"/>
                <w:color w:val="auto"/>
              </w:rPr>
            </w:pPr>
          </w:p>
        </w:tc>
        <w:tc>
          <w:tcPr>
            <w:tcW w:w="19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24,355</w:t>
            </w:r>
          </w:p>
        </w:tc>
        <w:tc>
          <w:tcPr>
            <w:tcW w:w="0" w:type="dxa"/>
            <w:vAlign w:val="bottom"/>
          </w:tcPr>
          <w:p>
            <w:pPr>
              <w:spacing w:after="0"/>
              <w:rPr>
                <w:sz w:val="1"/>
                <w:szCs w:val="1"/>
                <w:color w:val="auto"/>
              </w:rPr>
            </w:pPr>
          </w:p>
        </w:tc>
      </w:tr>
      <w:tr>
        <w:trPr>
          <w:trHeight w:val="209"/>
        </w:trPr>
        <w:tc>
          <w:tcPr>
            <w:tcW w:w="6580" w:type="dxa"/>
            <w:vAlign w:val="bottom"/>
          </w:tcPr>
          <w:p>
            <w:pPr>
              <w:ind w:left="240"/>
              <w:spacing w:after="0"/>
              <w:rPr>
                <w:sz w:val="20"/>
                <w:szCs w:val="20"/>
                <w:color w:val="auto"/>
              </w:rPr>
            </w:pPr>
            <w:r>
              <w:rPr>
                <w:rFonts w:ascii="Arial" w:cs="Arial" w:eastAsia="Arial" w:hAnsi="Arial"/>
                <w:sz w:val="16"/>
                <w:szCs w:val="16"/>
                <w:color w:val="auto"/>
              </w:rPr>
              <w:t>Long-term derivative assets</w:t>
            </w:r>
          </w:p>
        </w:tc>
        <w:tc>
          <w:tcPr>
            <w:tcW w:w="28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17"/>
        </w:trPr>
        <w:tc>
          <w:tcPr>
            <w:tcW w:w="6580" w:type="dxa"/>
            <w:vAlign w:val="bottom"/>
            <w:shd w:val="clear" w:color="auto" w:fill="DBDBDB"/>
          </w:tcPr>
          <w:p>
            <w:pPr>
              <w:ind w:left="240"/>
              <w:spacing w:after="0"/>
              <w:rPr>
                <w:sz w:val="20"/>
                <w:szCs w:val="20"/>
                <w:color w:val="auto"/>
              </w:rPr>
            </w:pPr>
            <w:r>
              <w:rPr>
                <w:rFonts w:ascii="Arial" w:cs="Arial" w:eastAsia="Arial" w:hAnsi="Arial"/>
                <w:sz w:val="16"/>
                <w:szCs w:val="16"/>
                <w:color w:val="auto"/>
              </w:rPr>
              <w:t>Deferred income tax assets</w:t>
            </w:r>
          </w:p>
        </w:tc>
        <w:tc>
          <w:tcPr>
            <w:tcW w:w="280" w:type="dxa"/>
            <w:vAlign w:val="bottom"/>
            <w:shd w:val="clear" w:color="auto" w:fill="DBDBDB"/>
          </w:tcPr>
          <w:p>
            <w:pPr>
              <w:spacing w:after="0"/>
              <w:rPr>
                <w:sz w:val="18"/>
                <w:szCs w:val="18"/>
                <w:color w:val="auto"/>
              </w:rPr>
            </w:pPr>
          </w:p>
        </w:tc>
        <w:tc>
          <w:tcPr>
            <w:tcW w:w="222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DBDBDB"/>
          </w:tcPr>
          <w:p>
            <w:pPr>
              <w:spacing w:after="0"/>
              <w:rPr>
                <w:sz w:val="18"/>
                <w:szCs w:val="18"/>
                <w:color w:val="auto"/>
              </w:rPr>
            </w:pPr>
          </w:p>
        </w:tc>
        <w:tc>
          <w:tcPr>
            <w:tcW w:w="19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168</w:t>
            </w:r>
          </w:p>
        </w:tc>
        <w:tc>
          <w:tcPr>
            <w:tcW w:w="0" w:type="dxa"/>
            <w:vAlign w:val="bottom"/>
          </w:tcPr>
          <w:p>
            <w:pPr>
              <w:spacing w:after="0"/>
              <w:rPr>
                <w:sz w:val="1"/>
                <w:szCs w:val="1"/>
                <w:color w:val="auto"/>
              </w:rPr>
            </w:pPr>
          </w:p>
        </w:tc>
      </w:tr>
      <w:tr>
        <w:trPr>
          <w:trHeight w:val="215"/>
        </w:trPr>
        <w:tc>
          <w:tcPr>
            <w:tcW w:w="6580" w:type="dxa"/>
            <w:vAlign w:val="bottom"/>
          </w:tcPr>
          <w:p>
            <w:pPr>
              <w:ind w:left="240"/>
              <w:spacing w:after="0"/>
              <w:rPr>
                <w:sz w:val="20"/>
                <w:szCs w:val="20"/>
                <w:color w:val="auto"/>
              </w:rPr>
            </w:pPr>
            <w:r>
              <w:rPr>
                <w:rFonts w:ascii="Arial" w:cs="Arial" w:eastAsia="Arial" w:hAnsi="Arial"/>
                <w:sz w:val="16"/>
                <w:szCs w:val="16"/>
                <w:color w:val="auto"/>
              </w:rPr>
              <w:t>Goodwill</w:t>
            </w:r>
          </w:p>
        </w:tc>
        <w:tc>
          <w:tcPr>
            <w:tcW w:w="28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349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6580" w:type="dxa"/>
            <w:vAlign w:val="bottom"/>
            <w:shd w:val="clear" w:color="auto" w:fill="DBDBDB"/>
          </w:tcPr>
          <w:p>
            <w:pPr>
              <w:ind w:left="240"/>
              <w:spacing w:after="0"/>
              <w:rPr>
                <w:sz w:val="20"/>
                <w:szCs w:val="20"/>
                <w:color w:val="auto"/>
              </w:rPr>
            </w:pPr>
            <w:r>
              <w:rPr>
                <w:rFonts w:ascii="Arial" w:cs="Arial" w:eastAsia="Arial" w:hAnsi="Arial"/>
                <w:sz w:val="16"/>
                <w:szCs w:val="16"/>
                <w:color w:val="auto"/>
              </w:rPr>
              <w:t>Intangible assets, net</w:t>
            </w:r>
          </w:p>
        </w:tc>
        <w:tc>
          <w:tcPr>
            <w:tcW w:w="280" w:type="dxa"/>
            <w:vAlign w:val="bottom"/>
            <w:shd w:val="clear" w:color="auto" w:fill="DBDBDB"/>
          </w:tcPr>
          <w:p>
            <w:pPr>
              <w:spacing w:after="0"/>
              <w:rPr>
                <w:sz w:val="18"/>
                <w:szCs w:val="18"/>
                <w:color w:val="auto"/>
              </w:rPr>
            </w:pPr>
          </w:p>
        </w:tc>
        <w:tc>
          <w:tcPr>
            <w:tcW w:w="2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1,082</w:t>
            </w:r>
          </w:p>
        </w:tc>
        <w:tc>
          <w:tcPr>
            <w:tcW w:w="10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19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6580" w:type="dxa"/>
            <w:vAlign w:val="bottom"/>
            <w:tcBorders>
              <w:bottom w:val="single" w:sz="8" w:color="DBDBDB"/>
            </w:tcBorders>
          </w:tcPr>
          <w:p>
            <w:pPr>
              <w:ind w:left="240"/>
              <w:spacing w:after="0"/>
              <w:rPr>
                <w:sz w:val="20"/>
                <w:szCs w:val="20"/>
                <w:color w:val="auto"/>
              </w:rPr>
            </w:pPr>
            <w:r>
              <w:rPr>
                <w:rFonts w:ascii="Arial" w:cs="Arial" w:eastAsia="Arial" w:hAnsi="Arial"/>
                <w:sz w:val="16"/>
                <w:szCs w:val="16"/>
                <w:color w:val="auto"/>
              </w:rPr>
              <w:t>Other long-term assets</w:t>
            </w:r>
          </w:p>
        </w:tc>
        <w:tc>
          <w:tcPr>
            <w:tcW w:w="28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687</w:t>
            </w:r>
          </w:p>
        </w:tc>
        <w:tc>
          <w:tcPr>
            <w:tcW w:w="100" w:type="dxa"/>
            <w:vAlign w:val="bottom"/>
            <w:tcBorders>
              <w:bottom w:val="single" w:sz="8" w:color="DBDBDB"/>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801</w:t>
            </w:r>
          </w:p>
        </w:tc>
        <w:tc>
          <w:tcPr>
            <w:tcW w:w="0" w:type="dxa"/>
            <w:vAlign w:val="bottom"/>
          </w:tcPr>
          <w:p>
            <w:pPr>
              <w:spacing w:after="0"/>
              <w:rPr>
                <w:sz w:val="1"/>
                <w:szCs w:val="1"/>
                <w:color w:val="auto"/>
              </w:rPr>
            </w:pPr>
          </w:p>
        </w:tc>
      </w:tr>
      <w:tr>
        <w:trPr>
          <w:trHeight w:val="235"/>
        </w:trPr>
        <w:tc>
          <w:tcPr>
            <w:tcW w:w="65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b w:val="1"/>
                <w:bCs w:val="1"/>
                <w:color w:val="auto"/>
              </w:rPr>
              <w:t>Total assets</w:t>
            </w:r>
          </w:p>
        </w:tc>
        <w:tc>
          <w:tcPr>
            <w:tcW w:w="280" w:type="dxa"/>
            <w:vAlign w:val="bottom"/>
            <w:tcBorders>
              <w:bottom w:val="single" w:sz="8" w:color="auto"/>
            </w:tcBorders>
            <w:shd w:val="clear" w:color="auto" w:fill="DBDBDB"/>
          </w:tcPr>
          <w:p>
            <w:pPr>
              <w:jc w:val="right"/>
              <w:ind w:right="79"/>
              <w:spacing w:after="0"/>
              <w:rPr>
                <w:sz w:val="20"/>
                <w:szCs w:val="20"/>
                <w:color w:val="auto"/>
              </w:rPr>
            </w:pPr>
            <w:r>
              <w:rPr>
                <w:rFonts w:ascii="Arial" w:cs="Arial" w:eastAsia="Arial" w:hAnsi="Arial"/>
                <w:sz w:val="16"/>
                <w:szCs w:val="16"/>
                <w:color w:val="auto"/>
              </w:rPr>
              <w:t>$</w:t>
            </w:r>
          </w:p>
        </w:tc>
        <w:tc>
          <w:tcPr>
            <w:tcW w:w="2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29,742</w:t>
            </w:r>
          </w:p>
        </w:tc>
        <w:tc>
          <w:tcPr>
            <w:tcW w:w="100" w:type="dxa"/>
            <w:vAlign w:val="bottom"/>
            <w:tcBorders>
              <w:bottom w:val="single" w:sz="8" w:color="DBDBDB"/>
            </w:tcBorders>
            <w:shd w:val="clear" w:color="auto" w:fill="DBDBDB"/>
          </w:tcPr>
          <w:p>
            <w:pPr>
              <w:spacing w:after="0"/>
              <w:rPr>
                <w:sz w:val="20"/>
                <w:szCs w:val="20"/>
                <w:color w:val="auto"/>
              </w:rPr>
            </w:pPr>
          </w:p>
        </w:tc>
        <w:tc>
          <w:tcPr>
            <w:tcW w:w="220" w:type="dxa"/>
            <w:vAlign w:val="bottom"/>
            <w:tcBorders>
              <w:bottom w:val="single" w:sz="8" w:color="auto"/>
            </w:tcBorders>
            <w:shd w:val="clear" w:color="auto" w:fill="DBDBDB"/>
          </w:tcPr>
          <w:p>
            <w:pPr>
              <w:jc w:val="right"/>
              <w:ind w:right="39"/>
              <w:spacing w:after="0"/>
              <w:rPr>
                <w:sz w:val="20"/>
                <w:szCs w:val="20"/>
                <w:color w:val="auto"/>
              </w:rPr>
            </w:pPr>
            <w:r>
              <w:rPr>
                <w:rFonts w:ascii="Arial" w:cs="Arial" w:eastAsia="Arial" w:hAnsi="Arial"/>
                <w:sz w:val="16"/>
                <w:szCs w:val="16"/>
                <w:color w:val="auto"/>
                <w:w w:val="89"/>
              </w:rPr>
              <w:t>$</w:t>
            </w:r>
          </w:p>
        </w:tc>
        <w:tc>
          <w:tcPr>
            <w:tcW w:w="1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28,287</w:t>
            </w:r>
          </w:p>
        </w:tc>
        <w:tc>
          <w:tcPr>
            <w:tcW w:w="0" w:type="dxa"/>
            <w:vAlign w:val="bottom"/>
          </w:tcPr>
          <w:p>
            <w:pPr>
              <w:spacing w:after="0"/>
              <w:rPr>
                <w:sz w:val="1"/>
                <w:szCs w:val="1"/>
                <w:color w:val="auto"/>
              </w:rPr>
            </w:pPr>
          </w:p>
        </w:tc>
      </w:tr>
      <w:tr>
        <w:trPr>
          <w:trHeight w:val="20"/>
        </w:trPr>
        <w:tc>
          <w:tcPr>
            <w:tcW w:w="658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21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194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
        </w:trPr>
        <w:tc>
          <w:tcPr>
            <w:tcW w:w="6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280" w:type="dxa"/>
            <w:vAlign w:val="bottom"/>
            <w:shd w:val="clear" w:color="auto" w:fill="DBDBDB"/>
          </w:tcPr>
          <w:p>
            <w:pPr>
              <w:spacing w:after="0"/>
              <w:rPr>
                <w:sz w:val="18"/>
                <w:szCs w:val="18"/>
                <w:color w:val="auto"/>
              </w:rPr>
            </w:pPr>
          </w:p>
        </w:tc>
        <w:tc>
          <w:tcPr>
            <w:tcW w:w="21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194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58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2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580" w:type="dxa"/>
            <w:vAlign w:val="bottom"/>
            <w:shd w:val="clear" w:color="auto" w:fill="DBDBDB"/>
          </w:tcPr>
          <w:p>
            <w:pPr>
              <w:ind w:left="240"/>
              <w:spacing w:after="0"/>
              <w:rPr>
                <w:sz w:val="20"/>
                <w:szCs w:val="20"/>
                <w:color w:val="auto"/>
              </w:rPr>
            </w:pPr>
            <w:r>
              <w:rPr>
                <w:rFonts w:ascii="Arial" w:cs="Arial" w:eastAsia="Arial" w:hAnsi="Arial"/>
                <w:sz w:val="16"/>
                <w:szCs w:val="16"/>
                <w:color w:val="auto"/>
              </w:rPr>
              <w:t>Accounts payable</w:t>
            </w:r>
          </w:p>
        </w:tc>
        <w:tc>
          <w:tcPr>
            <w:tcW w:w="280" w:type="dxa"/>
            <w:vAlign w:val="bottom"/>
            <w:shd w:val="clear" w:color="auto" w:fill="DBDBDB"/>
          </w:tcPr>
          <w:p>
            <w:pPr>
              <w:jc w:val="right"/>
              <w:ind w:right="79"/>
              <w:spacing w:after="0"/>
              <w:rPr>
                <w:sz w:val="20"/>
                <w:szCs w:val="20"/>
                <w:color w:val="auto"/>
              </w:rPr>
            </w:pPr>
            <w:r>
              <w:rPr>
                <w:rFonts w:ascii="Arial" w:cs="Arial" w:eastAsia="Arial" w:hAnsi="Arial"/>
                <w:sz w:val="16"/>
                <w:szCs w:val="16"/>
                <w:color w:val="auto"/>
              </w:rPr>
              <w:t>$</w:t>
            </w:r>
          </w:p>
        </w:tc>
        <w:tc>
          <w:tcPr>
            <w:tcW w:w="2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1,179</w:t>
            </w:r>
          </w:p>
        </w:tc>
        <w:tc>
          <w:tcPr>
            <w:tcW w:w="100" w:type="dxa"/>
            <w:vAlign w:val="bottom"/>
            <w:shd w:val="clear" w:color="auto" w:fill="DBDBDB"/>
          </w:tcPr>
          <w:p>
            <w:pPr>
              <w:spacing w:after="0"/>
              <w:rPr>
                <w:sz w:val="18"/>
                <w:szCs w:val="18"/>
                <w:color w:val="auto"/>
              </w:rPr>
            </w:pPr>
          </w:p>
        </w:tc>
        <w:tc>
          <w:tcPr>
            <w:tcW w:w="220" w:type="dxa"/>
            <w:vAlign w:val="bottom"/>
            <w:shd w:val="clear" w:color="auto" w:fill="DBDBDB"/>
          </w:tcPr>
          <w:p>
            <w:pPr>
              <w:jc w:val="right"/>
              <w:ind w:right="39"/>
              <w:spacing w:after="0"/>
              <w:rPr>
                <w:sz w:val="20"/>
                <w:szCs w:val="20"/>
                <w:color w:val="auto"/>
              </w:rPr>
            </w:pPr>
            <w:r>
              <w:rPr>
                <w:rFonts w:ascii="Arial" w:cs="Arial" w:eastAsia="Arial" w:hAnsi="Arial"/>
                <w:sz w:val="16"/>
                <w:szCs w:val="16"/>
                <w:color w:val="auto"/>
                <w:w w:val="89"/>
              </w:rPr>
              <w:t>$</w:t>
            </w:r>
          </w:p>
        </w:tc>
        <w:tc>
          <w:tcPr>
            <w:tcW w:w="19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753</w:t>
            </w:r>
          </w:p>
        </w:tc>
        <w:tc>
          <w:tcPr>
            <w:tcW w:w="0" w:type="dxa"/>
            <w:vAlign w:val="bottom"/>
          </w:tcPr>
          <w:p>
            <w:pPr>
              <w:spacing w:after="0"/>
              <w:rPr>
                <w:sz w:val="1"/>
                <w:szCs w:val="1"/>
                <w:color w:val="auto"/>
              </w:rPr>
            </w:pPr>
          </w:p>
        </w:tc>
      </w:tr>
      <w:tr>
        <w:trPr>
          <w:trHeight w:val="215"/>
        </w:trPr>
        <w:tc>
          <w:tcPr>
            <w:tcW w:w="6580" w:type="dxa"/>
            <w:vAlign w:val="bottom"/>
          </w:tcPr>
          <w:p>
            <w:pPr>
              <w:ind w:left="240"/>
              <w:spacing w:after="0"/>
              <w:rPr>
                <w:sz w:val="20"/>
                <w:szCs w:val="20"/>
                <w:color w:val="auto"/>
              </w:rPr>
            </w:pPr>
            <w:r>
              <w:rPr>
                <w:rFonts w:ascii="Arial" w:cs="Arial" w:eastAsia="Arial" w:hAnsi="Arial"/>
                <w:sz w:val="16"/>
                <w:szCs w:val="16"/>
                <w:color w:val="auto"/>
              </w:rPr>
              <w:t>Accrued interest</w:t>
            </w:r>
          </w:p>
        </w:tc>
        <w:tc>
          <w:tcPr>
            <w:tcW w:w="28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17"/>
        </w:trPr>
        <w:tc>
          <w:tcPr>
            <w:tcW w:w="6580" w:type="dxa"/>
            <w:vAlign w:val="bottom"/>
            <w:shd w:val="clear" w:color="auto" w:fill="DBDBDB"/>
          </w:tcPr>
          <w:p>
            <w:pPr>
              <w:ind w:left="240"/>
              <w:spacing w:after="0"/>
              <w:rPr>
                <w:sz w:val="20"/>
                <w:szCs w:val="20"/>
                <w:color w:val="auto"/>
              </w:rPr>
            </w:pPr>
            <w:r>
              <w:rPr>
                <w:rFonts w:ascii="Arial" w:cs="Arial" w:eastAsia="Arial" w:hAnsi="Arial"/>
                <w:sz w:val="16"/>
                <w:szCs w:val="16"/>
                <w:color w:val="auto"/>
              </w:rPr>
              <w:t>Derivative liabilities</w:t>
            </w:r>
          </w:p>
        </w:tc>
        <w:tc>
          <w:tcPr>
            <w:tcW w:w="280" w:type="dxa"/>
            <w:vAlign w:val="bottom"/>
            <w:shd w:val="clear" w:color="auto" w:fill="DBDBDB"/>
          </w:tcPr>
          <w:p>
            <w:pPr>
              <w:spacing w:after="0"/>
              <w:rPr>
                <w:sz w:val="18"/>
                <w:szCs w:val="18"/>
                <w:color w:val="auto"/>
              </w:rPr>
            </w:pPr>
          </w:p>
        </w:tc>
        <w:tc>
          <w:tcPr>
            <w:tcW w:w="2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19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5"/>
        </w:trPr>
        <w:tc>
          <w:tcPr>
            <w:tcW w:w="6580" w:type="dxa"/>
            <w:vAlign w:val="bottom"/>
            <w:tcBorders>
              <w:bottom w:val="single" w:sz="8" w:color="DBDBDB"/>
            </w:tcBorders>
          </w:tcPr>
          <w:p>
            <w:pPr>
              <w:ind w:left="240"/>
              <w:spacing w:after="0"/>
              <w:rPr>
                <w:sz w:val="20"/>
                <w:szCs w:val="20"/>
                <w:color w:val="auto"/>
              </w:rPr>
            </w:pPr>
            <w:r>
              <w:rPr>
                <w:rFonts w:ascii="Arial" w:cs="Arial" w:eastAsia="Arial" w:hAnsi="Arial"/>
                <w:sz w:val="16"/>
                <w:szCs w:val="16"/>
                <w:color w:val="auto"/>
              </w:rPr>
              <w:t>Other current liabilities</w:t>
            </w:r>
          </w:p>
        </w:tc>
        <w:tc>
          <w:tcPr>
            <w:tcW w:w="28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2,215</w:t>
            </w:r>
          </w:p>
        </w:tc>
        <w:tc>
          <w:tcPr>
            <w:tcW w:w="100" w:type="dxa"/>
            <w:vAlign w:val="bottom"/>
            <w:tcBorders>
              <w:bottom w:val="single" w:sz="8" w:color="DBDBDB"/>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2,045</w:t>
            </w:r>
          </w:p>
        </w:tc>
        <w:tc>
          <w:tcPr>
            <w:tcW w:w="0" w:type="dxa"/>
            <w:vAlign w:val="bottom"/>
          </w:tcPr>
          <w:p>
            <w:pPr>
              <w:spacing w:after="0"/>
              <w:rPr>
                <w:sz w:val="1"/>
                <w:szCs w:val="1"/>
                <w:color w:val="auto"/>
              </w:rPr>
            </w:pPr>
          </w:p>
        </w:tc>
      </w:tr>
      <w:tr>
        <w:trPr>
          <w:trHeight w:val="210"/>
        </w:trPr>
        <w:tc>
          <w:tcPr>
            <w:tcW w:w="6580" w:type="dxa"/>
            <w:vAlign w:val="bottom"/>
            <w:shd w:val="clear" w:color="auto" w:fill="DBDBDB"/>
          </w:tcPr>
          <w:p>
            <w:pPr>
              <w:ind w:left="360"/>
              <w:spacing w:after="0"/>
              <w:rPr>
                <w:sz w:val="20"/>
                <w:szCs w:val="20"/>
                <w:color w:val="auto"/>
              </w:rPr>
            </w:pPr>
            <w:r>
              <w:rPr>
                <w:rFonts w:ascii="Arial" w:cs="Arial" w:eastAsia="Arial" w:hAnsi="Arial"/>
                <w:sz w:val="16"/>
                <w:szCs w:val="16"/>
                <w:color w:val="auto"/>
              </w:rPr>
              <w:t>Total current liabilities</w:t>
            </w:r>
          </w:p>
        </w:tc>
        <w:tc>
          <w:tcPr>
            <w:tcW w:w="280" w:type="dxa"/>
            <w:vAlign w:val="bottom"/>
            <w:shd w:val="clear" w:color="auto" w:fill="DBDBDB"/>
          </w:tcPr>
          <w:p>
            <w:pPr>
              <w:spacing w:after="0"/>
              <w:rPr>
                <w:sz w:val="18"/>
                <w:szCs w:val="18"/>
                <w:color w:val="auto"/>
              </w:rPr>
            </w:pPr>
          </w:p>
        </w:tc>
        <w:tc>
          <w:tcPr>
            <w:tcW w:w="2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3,426</w:t>
            </w:r>
          </w:p>
        </w:tc>
        <w:tc>
          <w:tcPr>
            <w:tcW w:w="10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19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2,901</w:t>
            </w:r>
          </w:p>
        </w:tc>
        <w:tc>
          <w:tcPr>
            <w:tcW w:w="0" w:type="dxa"/>
            <w:vAlign w:val="bottom"/>
          </w:tcPr>
          <w:p>
            <w:pPr>
              <w:spacing w:after="0"/>
              <w:rPr>
                <w:sz w:val="1"/>
                <w:szCs w:val="1"/>
                <w:color w:val="auto"/>
              </w:rPr>
            </w:pPr>
          </w:p>
        </w:tc>
      </w:tr>
      <w:tr>
        <w:trPr>
          <w:trHeight w:val="215"/>
        </w:trPr>
        <w:tc>
          <w:tcPr>
            <w:tcW w:w="6580" w:type="dxa"/>
            <w:vAlign w:val="bottom"/>
          </w:tcPr>
          <w:p>
            <w:pPr>
              <w:ind w:left="240"/>
              <w:spacing w:after="0"/>
              <w:rPr>
                <w:sz w:val="20"/>
                <w:szCs w:val="20"/>
                <w:color w:val="auto"/>
              </w:rPr>
            </w:pPr>
            <w:r>
              <w:rPr>
                <w:rFonts w:ascii="Arial" w:cs="Arial" w:eastAsia="Arial" w:hAnsi="Arial"/>
                <w:sz w:val="16"/>
                <w:szCs w:val="16"/>
                <w:color w:val="auto"/>
              </w:rPr>
              <w:t>Long-term debt, net</w:t>
            </w:r>
          </w:p>
        </w:tc>
        <w:tc>
          <w:tcPr>
            <w:tcW w:w="28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4,632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5,009</w:t>
            </w:r>
          </w:p>
        </w:tc>
        <w:tc>
          <w:tcPr>
            <w:tcW w:w="0" w:type="dxa"/>
            <w:vAlign w:val="bottom"/>
          </w:tcPr>
          <w:p>
            <w:pPr>
              <w:spacing w:after="0"/>
              <w:rPr>
                <w:sz w:val="1"/>
                <w:szCs w:val="1"/>
                <w:color w:val="auto"/>
              </w:rPr>
            </w:pPr>
          </w:p>
        </w:tc>
      </w:tr>
      <w:tr>
        <w:trPr>
          <w:trHeight w:val="217"/>
        </w:trPr>
        <w:tc>
          <w:tcPr>
            <w:tcW w:w="6580" w:type="dxa"/>
            <w:vAlign w:val="bottom"/>
            <w:shd w:val="clear" w:color="auto" w:fill="DBDBDB"/>
          </w:tcPr>
          <w:p>
            <w:pPr>
              <w:ind w:left="240"/>
              <w:spacing w:after="0"/>
              <w:rPr>
                <w:sz w:val="20"/>
                <w:szCs w:val="20"/>
                <w:color w:val="auto"/>
              </w:rPr>
            </w:pPr>
            <w:r>
              <w:rPr>
                <w:rFonts w:ascii="Arial" w:cs="Arial" w:eastAsia="Arial" w:hAnsi="Arial"/>
                <w:sz w:val="16"/>
                <w:szCs w:val="16"/>
                <w:color w:val="auto"/>
              </w:rPr>
              <w:t>Long-term derivative liabilities</w:t>
            </w:r>
          </w:p>
        </w:tc>
        <w:tc>
          <w:tcPr>
            <w:tcW w:w="280" w:type="dxa"/>
            <w:vAlign w:val="bottom"/>
            <w:shd w:val="clear" w:color="auto" w:fill="DBDBDB"/>
          </w:tcPr>
          <w:p>
            <w:pPr>
              <w:spacing w:after="0"/>
              <w:rPr>
                <w:sz w:val="18"/>
                <w:szCs w:val="18"/>
                <w:color w:val="auto"/>
              </w:rPr>
            </w:pPr>
          </w:p>
        </w:tc>
        <w:tc>
          <w:tcPr>
            <w:tcW w:w="2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19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5"/>
        </w:trPr>
        <w:tc>
          <w:tcPr>
            <w:tcW w:w="6580" w:type="dxa"/>
            <w:vAlign w:val="bottom"/>
          </w:tcPr>
          <w:p>
            <w:pPr>
              <w:ind w:left="240"/>
              <w:spacing w:after="0"/>
              <w:rPr>
                <w:sz w:val="20"/>
                <w:szCs w:val="20"/>
                <w:color w:val="auto"/>
              </w:rPr>
            </w:pPr>
            <w:r>
              <w:rPr>
                <w:rFonts w:ascii="Arial" w:cs="Arial" w:eastAsia="Arial" w:hAnsi="Arial"/>
                <w:sz w:val="16"/>
                <w:szCs w:val="16"/>
                <w:color w:val="auto"/>
              </w:rPr>
              <w:t>Asset retirement obligations, net of current portion</w:t>
            </w:r>
          </w:p>
        </w:tc>
        <w:tc>
          <w:tcPr>
            <w:tcW w:w="28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744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688</w:t>
            </w:r>
          </w:p>
        </w:tc>
        <w:tc>
          <w:tcPr>
            <w:tcW w:w="0" w:type="dxa"/>
            <w:vAlign w:val="bottom"/>
          </w:tcPr>
          <w:p>
            <w:pPr>
              <w:spacing w:after="0"/>
              <w:rPr>
                <w:sz w:val="1"/>
                <w:szCs w:val="1"/>
                <w:color w:val="auto"/>
              </w:rPr>
            </w:pPr>
          </w:p>
        </w:tc>
      </w:tr>
      <w:tr>
        <w:trPr>
          <w:trHeight w:val="217"/>
        </w:trPr>
        <w:tc>
          <w:tcPr>
            <w:tcW w:w="6580" w:type="dxa"/>
            <w:vAlign w:val="bottom"/>
            <w:shd w:val="clear" w:color="auto" w:fill="DBDBDB"/>
          </w:tcPr>
          <w:p>
            <w:pPr>
              <w:ind w:left="240"/>
              <w:spacing w:after="0"/>
              <w:rPr>
                <w:sz w:val="20"/>
                <w:szCs w:val="20"/>
                <w:color w:val="auto"/>
              </w:rPr>
            </w:pPr>
            <w:r>
              <w:rPr>
                <w:rFonts w:ascii="Arial" w:cs="Arial" w:eastAsia="Arial" w:hAnsi="Arial"/>
                <w:sz w:val="16"/>
                <w:szCs w:val="16"/>
                <w:color w:val="auto"/>
              </w:rPr>
              <w:t>Long-term contract liabilities</w:t>
            </w:r>
          </w:p>
        </w:tc>
        <w:tc>
          <w:tcPr>
            <w:tcW w:w="280" w:type="dxa"/>
            <w:vAlign w:val="bottom"/>
            <w:shd w:val="clear" w:color="auto" w:fill="DBDBDB"/>
          </w:tcPr>
          <w:p>
            <w:pPr>
              <w:spacing w:after="0"/>
              <w:rPr>
                <w:sz w:val="18"/>
                <w:szCs w:val="18"/>
                <w:color w:val="auto"/>
              </w:rPr>
            </w:pPr>
          </w:p>
        </w:tc>
        <w:tc>
          <w:tcPr>
            <w:tcW w:w="2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914</w:t>
            </w:r>
          </w:p>
        </w:tc>
        <w:tc>
          <w:tcPr>
            <w:tcW w:w="10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19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975</w:t>
            </w:r>
          </w:p>
        </w:tc>
        <w:tc>
          <w:tcPr>
            <w:tcW w:w="0" w:type="dxa"/>
            <w:vAlign w:val="bottom"/>
          </w:tcPr>
          <w:p>
            <w:pPr>
              <w:spacing w:after="0"/>
              <w:rPr>
                <w:sz w:val="1"/>
                <w:szCs w:val="1"/>
                <w:color w:val="auto"/>
              </w:rPr>
            </w:pPr>
          </w:p>
        </w:tc>
      </w:tr>
      <w:tr>
        <w:trPr>
          <w:trHeight w:val="215"/>
        </w:trPr>
        <w:tc>
          <w:tcPr>
            <w:tcW w:w="6580" w:type="dxa"/>
            <w:vAlign w:val="bottom"/>
            <w:tcBorders>
              <w:bottom w:val="single" w:sz="8" w:color="DBDBDB"/>
            </w:tcBorders>
          </w:tcPr>
          <w:p>
            <w:pPr>
              <w:ind w:left="240"/>
              <w:spacing w:after="0"/>
              <w:rPr>
                <w:sz w:val="20"/>
                <w:szCs w:val="20"/>
                <w:color w:val="auto"/>
              </w:rPr>
            </w:pPr>
            <w:r>
              <w:rPr>
                <w:rFonts w:ascii="Arial" w:cs="Arial" w:eastAsia="Arial" w:hAnsi="Arial"/>
                <w:sz w:val="16"/>
                <w:szCs w:val="16"/>
                <w:color w:val="auto"/>
              </w:rPr>
              <w:t>Other long-term liabilities</w:t>
            </w:r>
          </w:p>
        </w:tc>
        <w:tc>
          <w:tcPr>
            <w:tcW w:w="28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514</w:t>
            </w:r>
          </w:p>
        </w:tc>
        <w:tc>
          <w:tcPr>
            <w:tcW w:w="100" w:type="dxa"/>
            <w:vAlign w:val="bottom"/>
            <w:tcBorders>
              <w:bottom w:val="single" w:sz="8" w:color="DBDBDB"/>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210"/>
        </w:trPr>
        <w:tc>
          <w:tcPr>
            <w:tcW w:w="6580" w:type="dxa"/>
            <w:vAlign w:val="bottom"/>
            <w:shd w:val="clear" w:color="auto" w:fill="DBDBDB"/>
          </w:tcPr>
          <w:p>
            <w:pPr>
              <w:ind w:left="460"/>
              <w:spacing w:after="0"/>
              <w:rPr>
                <w:sz w:val="20"/>
                <w:szCs w:val="20"/>
                <w:color w:val="auto"/>
              </w:rPr>
            </w:pPr>
            <w:r>
              <w:rPr>
                <w:rFonts w:ascii="Arial" w:cs="Arial" w:eastAsia="Arial" w:hAnsi="Arial"/>
                <w:sz w:val="16"/>
                <w:szCs w:val="16"/>
                <w:color w:val="auto"/>
              </w:rPr>
              <w:t>Total liabilities</w:t>
            </w:r>
          </w:p>
        </w:tc>
        <w:tc>
          <w:tcPr>
            <w:tcW w:w="280" w:type="dxa"/>
            <w:vAlign w:val="bottom"/>
            <w:tcBorders>
              <w:bottom w:val="single" w:sz="8" w:color="auto"/>
            </w:tcBorders>
            <w:shd w:val="clear" w:color="auto" w:fill="DBDBDB"/>
          </w:tcPr>
          <w:p>
            <w:pPr>
              <w:spacing w:after="0"/>
              <w:rPr>
                <w:sz w:val="18"/>
                <w:szCs w:val="18"/>
                <w:color w:val="auto"/>
              </w:rPr>
            </w:pPr>
          </w:p>
        </w:tc>
        <w:tc>
          <w:tcPr>
            <w:tcW w:w="2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10,242</w:t>
            </w:r>
          </w:p>
        </w:tc>
        <w:tc>
          <w:tcPr>
            <w:tcW w:w="100" w:type="dxa"/>
            <w:vAlign w:val="bottom"/>
            <w:shd w:val="clear" w:color="auto" w:fill="DBDBDB"/>
          </w:tcPr>
          <w:p>
            <w:pPr>
              <w:spacing w:after="0"/>
              <w:rPr>
                <w:sz w:val="18"/>
                <w:szCs w:val="18"/>
                <w:color w:val="auto"/>
              </w:rPr>
            </w:pPr>
          </w:p>
        </w:tc>
        <w:tc>
          <w:tcPr>
            <w:tcW w:w="220" w:type="dxa"/>
            <w:vAlign w:val="bottom"/>
            <w:tcBorders>
              <w:bottom w:val="single" w:sz="8" w:color="auto"/>
            </w:tcBorders>
            <w:shd w:val="clear" w:color="auto" w:fill="DBDBDB"/>
          </w:tcPr>
          <w:p>
            <w:pPr>
              <w:spacing w:after="0"/>
              <w:rPr>
                <w:sz w:val="18"/>
                <w:szCs w:val="18"/>
                <w:color w:val="auto"/>
              </w:rPr>
            </w:pPr>
          </w:p>
        </w:tc>
        <w:tc>
          <w:tcPr>
            <w:tcW w:w="1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9,709</w:t>
            </w:r>
          </w:p>
        </w:tc>
        <w:tc>
          <w:tcPr>
            <w:tcW w:w="0" w:type="dxa"/>
            <w:vAlign w:val="bottom"/>
          </w:tcPr>
          <w:p>
            <w:pPr>
              <w:spacing w:after="0"/>
              <w:rPr>
                <w:sz w:val="1"/>
                <w:szCs w:val="1"/>
                <w:color w:val="auto"/>
              </w:rPr>
            </w:pPr>
          </w:p>
        </w:tc>
      </w:tr>
      <w:tr>
        <w:trPr>
          <w:trHeight w:val="195"/>
        </w:trPr>
        <w:tc>
          <w:tcPr>
            <w:tcW w:w="6580" w:type="dxa"/>
            <w:vAlign w:val="bottom"/>
          </w:tcPr>
          <w:p>
            <w:pPr>
              <w:ind w:left="20"/>
              <w:spacing w:after="0"/>
              <w:rPr>
                <w:sz w:val="20"/>
                <w:szCs w:val="20"/>
                <w:color w:val="auto"/>
              </w:rPr>
            </w:pPr>
            <w:r>
              <w:rPr>
                <w:rFonts w:ascii="Arial" w:cs="Arial" w:eastAsia="Arial" w:hAnsi="Arial"/>
                <w:sz w:val="16"/>
                <w:szCs w:val="16"/>
                <w:color w:val="auto"/>
              </w:rPr>
              <w:t>Contingencies and commitments</w:t>
            </w:r>
          </w:p>
        </w:tc>
        <w:tc>
          <w:tcPr>
            <w:tcW w:w="28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580" w:type="dxa"/>
            <w:vAlign w:val="bottom"/>
            <w:shd w:val="clear" w:color="auto" w:fill="DBDBDB"/>
          </w:tcPr>
          <w:p>
            <w:pPr>
              <w:ind w:left="20"/>
              <w:spacing w:after="0"/>
              <w:rPr>
                <w:sz w:val="20"/>
                <w:szCs w:val="20"/>
                <w:color w:val="auto"/>
              </w:rPr>
            </w:pPr>
            <w:r>
              <w:rPr>
                <w:rFonts w:ascii="Arial" w:cs="Arial" w:eastAsia="Arial" w:hAnsi="Arial"/>
                <w:sz w:val="16"/>
                <w:szCs w:val="16"/>
                <w:color w:val="auto"/>
              </w:rPr>
              <w:t>Stockholders' equity:</w:t>
            </w:r>
          </w:p>
        </w:tc>
        <w:tc>
          <w:tcPr>
            <w:tcW w:w="280" w:type="dxa"/>
            <w:vAlign w:val="bottom"/>
            <w:shd w:val="clear" w:color="auto" w:fill="DBDBDB"/>
          </w:tcPr>
          <w:p>
            <w:pPr>
              <w:spacing w:after="0"/>
              <w:rPr>
                <w:sz w:val="18"/>
                <w:szCs w:val="18"/>
                <w:color w:val="auto"/>
              </w:rPr>
            </w:pPr>
          </w:p>
        </w:tc>
        <w:tc>
          <w:tcPr>
            <w:tcW w:w="21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194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6580" w:type="dxa"/>
            <w:vAlign w:val="bottom"/>
          </w:tcPr>
          <w:p>
            <w:pPr>
              <w:ind w:left="240"/>
              <w:spacing w:after="0" w:line="162" w:lineRule="exact"/>
              <w:rPr>
                <w:sz w:val="20"/>
                <w:szCs w:val="20"/>
                <w:color w:val="auto"/>
              </w:rPr>
            </w:pPr>
            <w:r>
              <w:rPr>
                <w:rFonts w:ascii="Arial" w:cs="Arial" w:eastAsia="Arial" w:hAnsi="Arial"/>
                <w:sz w:val="16"/>
                <w:szCs w:val="16"/>
                <w:color w:val="auto"/>
              </w:rPr>
              <w:t>Common stock, $0.01 par value, 450,000,000 shares authorized: 230,944,097 and</w:t>
            </w:r>
          </w:p>
        </w:tc>
        <w:tc>
          <w:tcPr>
            <w:tcW w:w="280" w:type="dxa"/>
            <w:vAlign w:val="bottom"/>
          </w:tcPr>
          <w:p>
            <w:pPr>
              <w:spacing w:after="0"/>
              <w:rPr>
                <w:sz w:val="14"/>
                <w:szCs w:val="14"/>
                <w:color w:val="auto"/>
              </w:rPr>
            </w:pPr>
          </w:p>
        </w:tc>
        <w:tc>
          <w:tcPr>
            <w:tcW w:w="2120" w:type="dxa"/>
            <w:vAlign w:val="bottom"/>
            <w:vMerge w:val="restart"/>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vMerge w:val="restart"/>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5"/>
        </w:trPr>
        <w:tc>
          <w:tcPr>
            <w:tcW w:w="6580" w:type="dxa"/>
            <w:vAlign w:val="bottom"/>
          </w:tcPr>
          <w:p>
            <w:pPr>
              <w:ind w:left="240"/>
              <w:spacing w:after="0"/>
              <w:rPr>
                <w:sz w:val="20"/>
                <w:szCs w:val="20"/>
                <w:color w:val="auto"/>
              </w:rPr>
            </w:pPr>
            <w:r>
              <w:rPr>
                <w:rFonts w:ascii="Arial" w:cs="Arial" w:eastAsia="Arial" w:hAnsi="Arial"/>
                <w:sz w:val="16"/>
                <w:szCs w:val="16"/>
                <w:color w:val="auto"/>
              </w:rPr>
              <w:t>239,249,874 shares issued</w:t>
            </w:r>
          </w:p>
        </w:tc>
        <w:tc>
          <w:tcPr>
            <w:tcW w:w="280" w:type="dxa"/>
            <w:vAlign w:val="bottom"/>
          </w:tcPr>
          <w:p>
            <w:pPr>
              <w:spacing w:after="0"/>
              <w:rPr>
                <w:sz w:val="18"/>
                <w:szCs w:val="18"/>
                <w:color w:val="auto"/>
              </w:rPr>
            </w:pPr>
          </w:p>
        </w:tc>
        <w:tc>
          <w:tcPr>
            <w:tcW w:w="2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580" w:type="dxa"/>
            <w:vAlign w:val="bottom"/>
            <w:shd w:val="clear" w:color="auto" w:fill="DBDBDB"/>
          </w:tcPr>
          <w:p>
            <w:pPr>
              <w:ind w:left="240"/>
              <w:spacing w:after="0"/>
              <w:rPr>
                <w:sz w:val="20"/>
                <w:szCs w:val="20"/>
                <w:color w:val="auto"/>
              </w:rPr>
            </w:pPr>
            <w:r>
              <w:rPr>
                <w:rFonts w:ascii="Arial" w:cs="Arial" w:eastAsia="Arial" w:hAnsi="Arial"/>
                <w:sz w:val="16"/>
                <w:szCs w:val="16"/>
                <w:color w:val="auto"/>
              </w:rPr>
              <w:t>Additional paid-in capital</w:t>
            </w:r>
          </w:p>
        </w:tc>
        <w:tc>
          <w:tcPr>
            <w:tcW w:w="280" w:type="dxa"/>
            <w:vAlign w:val="bottom"/>
            <w:shd w:val="clear" w:color="auto" w:fill="DBDBDB"/>
          </w:tcPr>
          <w:p>
            <w:pPr>
              <w:spacing w:after="0"/>
              <w:rPr>
                <w:sz w:val="18"/>
                <w:szCs w:val="18"/>
                <w:color w:val="auto"/>
              </w:rPr>
            </w:pPr>
          </w:p>
        </w:tc>
        <w:tc>
          <w:tcPr>
            <w:tcW w:w="2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13,787</w:t>
            </w:r>
          </w:p>
        </w:tc>
        <w:tc>
          <w:tcPr>
            <w:tcW w:w="10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19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13,746</w:t>
            </w:r>
          </w:p>
        </w:tc>
        <w:tc>
          <w:tcPr>
            <w:tcW w:w="0" w:type="dxa"/>
            <w:vAlign w:val="bottom"/>
          </w:tcPr>
          <w:p>
            <w:pPr>
              <w:spacing w:after="0"/>
              <w:rPr>
                <w:sz w:val="1"/>
                <w:szCs w:val="1"/>
                <w:color w:val="auto"/>
              </w:rPr>
            </w:pPr>
          </w:p>
        </w:tc>
      </w:tr>
      <w:tr>
        <w:trPr>
          <w:trHeight w:val="215"/>
        </w:trPr>
        <w:tc>
          <w:tcPr>
            <w:tcW w:w="6580" w:type="dxa"/>
            <w:vAlign w:val="bottom"/>
            <w:tcBorders>
              <w:bottom w:val="single" w:sz="8" w:color="DBDBDB"/>
            </w:tcBorders>
          </w:tcPr>
          <w:p>
            <w:pPr>
              <w:ind w:left="240"/>
              <w:spacing w:after="0"/>
              <w:rPr>
                <w:sz w:val="20"/>
                <w:szCs w:val="20"/>
                <w:color w:val="auto"/>
              </w:rPr>
            </w:pPr>
            <w:r>
              <w:rPr>
                <w:rFonts w:ascii="Arial" w:cs="Arial" w:eastAsia="Arial" w:hAnsi="Arial"/>
                <w:sz w:val="16"/>
                <w:szCs w:val="16"/>
                <w:color w:val="auto"/>
              </w:rPr>
              <w:t>Retained earnings</w:t>
            </w:r>
          </w:p>
        </w:tc>
        <w:tc>
          <w:tcPr>
            <w:tcW w:w="28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5,711</w:t>
            </w:r>
          </w:p>
        </w:tc>
        <w:tc>
          <w:tcPr>
            <w:tcW w:w="100" w:type="dxa"/>
            <w:vAlign w:val="bottom"/>
            <w:tcBorders>
              <w:bottom w:val="single" w:sz="8" w:color="DBDBDB"/>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4,830</w:t>
            </w:r>
          </w:p>
        </w:tc>
        <w:tc>
          <w:tcPr>
            <w:tcW w:w="0" w:type="dxa"/>
            <w:vAlign w:val="bottom"/>
          </w:tcPr>
          <w:p>
            <w:pPr>
              <w:spacing w:after="0"/>
              <w:rPr>
                <w:sz w:val="1"/>
                <w:szCs w:val="1"/>
                <w:color w:val="auto"/>
              </w:rPr>
            </w:pPr>
          </w:p>
        </w:tc>
      </w:tr>
      <w:tr>
        <w:trPr>
          <w:trHeight w:val="210"/>
        </w:trPr>
        <w:tc>
          <w:tcPr>
            <w:tcW w:w="6580" w:type="dxa"/>
            <w:vAlign w:val="bottom"/>
            <w:shd w:val="clear" w:color="auto" w:fill="DBDBDB"/>
          </w:tcPr>
          <w:p>
            <w:pPr>
              <w:ind w:left="460"/>
              <w:spacing w:after="0"/>
              <w:rPr>
                <w:sz w:val="20"/>
                <w:szCs w:val="20"/>
                <w:color w:val="auto"/>
              </w:rPr>
            </w:pPr>
            <w:r>
              <w:rPr>
                <w:rFonts w:ascii="Arial" w:cs="Arial" w:eastAsia="Arial" w:hAnsi="Arial"/>
                <w:sz w:val="16"/>
                <w:szCs w:val="16"/>
                <w:color w:val="auto"/>
              </w:rPr>
              <w:t>Total stockholders' equity</w:t>
            </w:r>
          </w:p>
        </w:tc>
        <w:tc>
          <w:tcPr>
            <w:tcW w:w="280" w:type="dxa"/>
            <w:vAlign w:val="bottom"/>
            <w:tcBorders>
              <w:bottom w:val="single" w:sz="8" w:color="auto"/>
            </w:tcBorders>
            <w:shd w:val="clear" w:color="auto" w:fill="DBDBDB"/>
          </w:tcPr>
          <w:p>
            <w:pPr>
              <w:spacing w:after="0"/>
              <w:rPr>
                <w:sz w:val="18"/>
                <w:szCs w:val="18"/>
                <w:color w:val="auto"/>
              </w:rPr>
            </w:pPr>
          </w:p>
        </w:tc>
        <w:tc>
          <w:tcPr>
            <w:tcW w:w="2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19,500</w:t>
            </w:r>
          </w:p>
        </w:tc>
        <w:tc>
          <w:tcPr>
            <w:tcW w:w="100" w:type="dxa"/>
            <w:vAlign w:val="bottom"/>
            <w:shd w:val="clear" w:color="auto" w:fill="DBDBDB"/>
          </w:tcPr>
          <w:p>
            <w:pPr>
              <w:spacing w:after="0"/>
              <w:rPr>
                <w:sz w:val="18"/>
                <w:szCs w:val="18"/>
                <w:color w:val="auto"/>
              </w:rPr>
            </w:pPr>
          </w:p>
        </w:tc>
        <w:tc>
          <w:tcPr>
            <w:tcW w:w="220" w:type="dxa"/>
            <w:vAlign w:val="bottom"/>
            <w:tcBorders>
              <w:bottom w:val="single" w:sz="8" w:color="auto"/>
            </w:tcBorders>
            <w:shd w:val="clear" w:color="auto" w:fill="DBDBDB"/>
          </w:tcPr>
          <w:p>
            <w:pPr>
              <w:spacing w:after="0"/>
              <w:rPr>
                <w:sz w:val="18"/>
                <w:szCs w:val="18"/>
                <w:color w:val="auto"/>
              </w:rPr>
            </w:pPr>
          </w:p>
        </w:tc>
        <w:tc>
          <w:tcPr>
            <w:tcW w:w="1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18,578</w:t>
            </w:r>
          </w:p>
        </w:tc>
        <w:tc>
          <w:tcPr>
            <w:tcW w:w="0" w:type="dxa"/>
            <w:vAlign w:val="bottom"/>
          </w:tcPr>
          <w:p>
            <w:pPr>
              <w:spacing w:after="0"/>
              <w:rPr>
                <w:sz w:val="1"/>
                <w:szCs w:val="1"/>
                <w:color w:val="auto"/>
              </w:rPr>
            </w:pPr>
          </w:p>
        </w:tc>
      </w:tr>
      <w:tr>
        <w:trPr>
          <w:trHeight w:val="210"/>
        </w:trPr>
        <w:tc>
          <w:tcPr>
            <w:tcW w:w="6580" w:type="dxa"/>
            <w:vAlign w:val="bottom"/>
          </w:tcPr>
          <w:p>
            <w:pPr>
              <w:ind w:left="20"/>
              <w:spacing w:after="0"/>
              <w:rPr>
                <w:sz w:val="20"/>
                <w:szCs w:val="20"/>
                <w:color w:val="auto"/>
              </w:rPr>
            </w:pPr>
            <w:r>
              <w:rPr>
                <w:rFonts w:ascii="Arial" w:cs="Arial" w:eastAsia="Arial" w:hAnsi="Arial"/>
                <w:sz w:val="16"/>
                <w:szCs w:val="16"/>
                <w:b w:val="1"/>
                <w:bCs w:val="1"/>
                <w:color w:val="auto"/>
              </w:rPr>
              <w:t>Total liabilities and stockholders' equity</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29,742</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28,287</w:t>
            </w: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228" w:right="339" w:bottom="1440" w:gutter="0" w:footer="0" w:header="0"/>
        </w:sectPr>
      </w:pPr>
    </w:p>
    <w:bookmarkStart w:id="8" w:name="page9"/>
    <w:bookmarkEnd w:id="8"/>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560" w:type="dxa"/>
            <w:vAlign w:val="bottom"/>
            <w:tcBorders>
              <w:bottom w:val="single" w:sz="8" w:color="33A3DC"/>
            </w:tcBorders>
            <w:gridSpan w:val="5"/>
          </w:tcPr>
          <w:p>
            <w:pPr>
              <w:ind w:left="20"/>
              <w:spacing w:after="0"/>
              <w:rPr>
                <w:sz w:val="20"/>
                <w:szCs w:val="20"/>
                <w:color w:val="auto"/>
              </w:rPr>
            </w:pPr>
            <w:r>
              <w:rPr>
                <w:rFonts w:ascii="Arial" w:cs="Arial" w:eastAsia="Arial" w:hAnsi="Arial"/>
                <w:sz w:val="18"/>
                <w:szCs w:val="18"/>
                <w:b w:val="1"/>
                <w:bCs w:val="1"/>
                <w:color w:val="00386C"/>
              </w:rPr>
              <w:t>CONDENSED CONSOLIDATED STATEMENTS OF OPERATIONS (unaudited)</w:t>
            </w:r>
          </w:p>
        </w:tc>
        <w:tc>
          <w:tcPr>
            <w:tcW w:w="140" w:type="dxa"/>
            <w:vAlign w:val="bottom"/>
            <w:tcBorders>
              <w:bottom w:val="single" w:sz="8" w:color="33A3DC"/>
            </w:tcBorders>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6"/>
        </w:trPr>
        <w:tc>
          <w:tcPr>
            <w:tcW w:w="4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380" w:type="dxa"/>
            <w:vAlign w:val="bottom"/>
            <w:gridSpan w:val="6"/>
          </w:tcPr>
          <w:p>
            <w:pPr>
              <w:ind w:left="40"/>
              <w:spacing w:after="0"/>
              <w:rPr>
                <w:sz w:val="20"/>
                <w:szCs w:val="20"/>
                <w:color w:val="auto"/>
              </w:rPr>
            </w:pPr>
            <w:r>
              <w:rPr>
                <w:rFonts w:ascii="Arial" w:cs="Arial" w:eastAsia="Arial" w:hAnsi="Arial"/>
                <w:sz w:val="18"/>
                <w:szCs w:val="18"/>
                <w:b w:val="1"/>
                <w:bCs w:val="1"/>
                <w:color w:val="auto"/>
              </w:rPr>
              <w:t>Three Months Ended September 30,</w:t>
            </w:r>
          </w:p>
        </w:tc>
        <w:tc>
          <w:tcPr>
            <w:tcW w:w="180" w:type="dxa"/>
            <w:vAlign w:val="bottom"/>
          </w:tcPr>
          <w:p>
            <w:pPr>
              <w:spacing w:after="0"/>
              <w:rPr>
                <w:sz w:val="24"/>
                <w:szCs w:val="24"/>
                <w:color w:val="auto"/>
              </w:rPr>
            </w:pPr>
          </w:p>
        </w:tc>
        <w:tc>
          <w:tcPr>
            <w:tcW w:w="3260" w:type="dxa"/>
            <w:vAlign w:val="bottom"/>
            <w:gridSpan w:val="4"/>
          </w:tcPr>
          <w:p>
            <w:pPr>
              <w:jc w:val="right"/>
              <w:ind w:right="150"/>
              <w:spacing w:after="0"/>
              <w:rPr>
                <w:sz w:val="20"/>
                <w:szCs w:val="20"/>
                <w:color w:val="auto"/>
              </w:rPr>
            </w:pPr>
            <w:r>
              <w:rPr>
                <w:rFonts w:ascii="Arial" w:cs="Arial" w:eastAsia="Arial" w:hAnsi="Arial"/>
                <w:sz w:val="18"/>
                <w:szCs w:val="18"/>
                <w:b w:val="1"/>
                <w:bCs w:val="1"/>
                <w:color w:val="auto"/>
              </w:rPr>
              <w:t>Nine Months Ended September 30,</w:t>
            </w:r>
          </w:p>
        </w:tc>
        <w:tc>
          <w:tcPr>
            <w:tcW w:w="0" w:type="dxa"/>
            <w:vAlign w:val="bottom"/>
          </w:tcPr>
          <w:p>
            <w:pPr>
              <w:spacing w:after="0"/>
              <w:rPr>
                <w:sz w:val="1"/>
                <w:szCs w:val="1"/>
                <w:color w:val="auto"/>
              </w:rPr>
            </w:pPr>
          </w:p>
        </w:tc>
      </w:tr>
      <w:tr>
        <w:trPr>
          <w:trHeight w:val="223"/>
        </w:trPr>
        <w:tc>
          <w:tcPr>
            <w:tcW w:w="4280" w:type="dxa"/>
            <w:vAlign w:val="bottom"/>
            <w:tcBorders>
              <w:bottom w:val="single" w:sz="8" w:color="DBDBDB"/>
            </w:tcBorders>
          </w:tcPr>
          <w:p>
            <w:pPr>
              <w:ind w:left="20"/>
              <w:spacing w:after="0"/>
              <w:rPr>
                <w:sz w:val="20"/>
                <w:szCs w:val="20"/>
                <w:color w:val="auto"/>
              </w:rPr>
            </w:pPr>
            <w:r>
              <w:rPr>
                <w:rFonts w:ascii="Arial" w:cs="Arial" w:eastAsia="Arial" w:hAnsi="Arial"/>
                <w:sz w:val="14"/>
                <w:szCs w:val="14"/>
                <w:i w:val="1"/>
                <w:iCs w:val="1"/>
                <w:color w:val="auto"/>
              </w:rPr>
              <w:t>($ in millions, except per share data)</w:t>
            </w:r>
          </w:p>
        </w:tc>
        <w:tc>
          <w:tcPr>
            <w:tcW w:w="140" w:type="dxa"/>
            <w:vAlign w:val="bottom"/>
            <w:tcBorders>
              <w:top w:val="single" w:sz="8" w:color="auto"/>
              <w:bottom w:val="single" w:sz="8" w:color="auto"/>
            </w:tcBorders>
          </w:tcPr>
          <w:p>
            <w:pPr>
              <w:spacing w:after="0"/>
              <w:rPr>
                <w:sz w:val="19"/>
                <w:szCs w:val="19"/>
                <w:color w:val="auto"/>
              </w:rPr>
            </w:pPr>
          </w:p>
        </w:tc>
        <w:tc>
          <w:tcPr>
            <w:tcW w:w="152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2026</w:t>
            </w:r>
          </w:p>
        </w:tc>
        <w:tc>
          <w:tcPr>
            <w:tcW w:w="100" w:type="dxa"/>
            <w:vAlign w:val="bottom"/>
            <w:tcBorders>
              <w:top w:val="single" w:sz="8" w:color="auto"/>
              <w:bottom w:val="single" w:sz="8" w:color="DBDBDB"/>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gridSpan w:val="2"/>
          </w:tcPr>
          <w:p>
            <w:pPr>
              <w:jc w:val="right"/>
              <w:ind w:right="620"/>
              <w:spacing w:after="0"/>
              <w:rPr>
                <w:sz w:val="20"/>
                <w:szCs w:val="20"/>
                <w:color w:val="auto"/>
              </w:rPr>
            </w:pPr>
            <w:r>
              <w:rPr>
                <w:rFonts w:ascii="Arial" w:cs="Arial" w:eastAsia="Arial" w:hAnsi="Arial"/>
                <w:sz w:val="18"/>
                <w:szCs w:val="18"/>
                <w:b w:val="1"/>
                <w:bCs w:val="1"/>
                <w:color w:val="auto"/>
              </w:rPr>
              <w:t>2025</w:t>
            </w:r>
          </w:p>
        </w:tc>
        <w:tc>
          <w:tcPr>
            <w:tcW w:w="100" w:type="dxa"/>
            <w:vAlign w:val="bottom"/>
            <w:tcBorders>
              <w:bottom w:val="single" w:sz="8" w:color="DBDBDB"/>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2026</w:t>
            </w:r>
          </w:p>
        </w:tc>
        <w:tc>
          <w:tcPr>
            <w:tcW w:w="80" w:type="dxa"/>
            <w:vAlign w:val="bottom"/>
            <w:tcBorders>
              <w:top w:val="single" w:sz="8" w:color="auto"/>
              <w:bottom w:val="single" w:sz="8" w:color="DBDBDB"/>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2025</w:t>
            </w:r>
          </w:p>
        </w:tc>
        <w:tc>
          <w:tcPr>
            <w:tcW w:w="0" w:type="dxa"/>
            <w:vAlign w:val="bottom"/>
          </w:tcPr>
          <w:p>
            <w:pPr>
              <w:spacing w:after="0"/>
              <w:rPr>
                <w:sz w:val="1"/>
                <w:szCs w:val="1"/>
                <w:color w:val="auto"/>
              </w:rPr>
            </w:pPr>
          </w:p>
        </w:tc>
      </w:tr>
      <w:tr>
        <w:trPr>
          <w:trHeight w:val="209"/>
        </w:trPr>
        <w:tc>
          <w:tcPr>
            <w:tcW w:w="428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Revenues and other:</w:t>
            </w:r>
          </w:p>
        </w:tc>
        <w:tc>
          <w:tcPr>
            <w:tcW w:w="140" w:type="dxa"/>
            <w:vAlign w:val="bottom"/>
            <w:shd w:val="clear" w:color="auto" w:fill="DBDBDB"/>
          </w:tcPr>
          <w:p>
            <w:pPr>
              <w:spacing w:after="0"/>
              <w:rPr>
                <w:sz w:val="18"/>
                <w:szCs w:val="18"/>
                <w:color w:val="auto"/>
              </w:rPr>
            </w:pPr>
          </w:p>
        </w:tc>
        <w:tc>
          <w:tcPr>
            <w:tcW w:w="15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52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0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50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3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80" w:type="dxa"/>
            <w:vAlign w:val="bottom"/>
          </w:tcPr>
          <w:p>
            <w:pPr>
              <w:ind w:left="240"/>
              <w:spacing w:after="0"/>
              <w:rPr>
                <w:sz w:val="20"/>
                <w:szCs w:val="20"/>
                <w:color w:val="auto"/>
              </w:rPr>
            </w:pPr>
            <w:r>
              <w:rPr>
                <w:rFonts w:ascii="Arial" w:cs="Arial" w:eastAsia="Arial" w:hAnsi="Arial"/>
                <w:sz w:val="18"/>
                <w:szCs w:val="18"/>
                <w:color w:val="auto"/>
              </w:rPr>
              <w:t>Natural gas, oil and NGL</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1,881</w:t>
            </w:r>
          </w:p>
        </w:tc>
        <w:tc>
          <w:tcPr>
            <w:tcW w:w="10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1,850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7,026</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6,171</w:t>
            </w:r>
          </w:p>
        </w:tc>
        <w:tc>
          <w:tcPr>
            <w:tcW w:w="0" w:type="dxa"/>
            <w:vAlign w:val="bottom"/>
          </w:tcPr>
          <w:p>
            <w:pPr>
              <w:spacing w:after="0"/>
              <w:rPr>
                <w:sz w:val="1"/>
                <w:szCs w:val="1"/>
                <w:color w:val="auto"/>
              </w:rPr>
            </w:pPr>
          </w:p>
        </w:tc>
      </w:tr>
      <w:tr>
        <w:trPr>
          <w:trHeight w:val="229"/>
        </w:trPr>
        <w:tc>
          <w:tcPr>
            <w:tcW w:w="4280" w:type="dxa"/>
            <w:vAlign w:val="bottom"/>
            <w:shd w:val="clear" w:color="auto" w:fill="DBDBDB"/>
          </w:tcPr>
          <w:p>
            <w:pPr>
              <w:ind w:left="240"/>
              <w:spacing w:after="0"/>
              <w:rPr>
                <w:sz w:val="20"/>
                <w:szCs w:val="20"/>
                <w:color w:val="auto"/>
              </w:rPr>
            </w:pPr>
            <w:r>
              <w:rPr>
                <w:rFonts w:ascii="Arial" w:cs="Arial" w:eastAsia="Arial" w:hAnsi="Arial"/>
                <w:sz w:val="18"/>
                <w:szCs w:val="18"/>
                <w:color w:val="auto"/>
              </w:rPr>
              <w:t>Marketing</w:t>
            </w:r>
          </w:p>
        </w:tc>
        <w:tc>
          <w:tcPr>
            <w:tcW w:w="140" w:type="dxa"/>
            <w:vAlign w:val="bottom"/>
            <w:shd w:val="clear" w:color="auto" w:fill="DBDBDB"/>
          </w:tcPr>
          <w:p>
            <w:pPr>
              <w:spacing w:after="0"/>
              <w:rPr>
                <w:sz w:val="19"/>
                <w:szCs w:val="19"/>
                <w:color w:val="auto"/>
              </w:rPr>
            </w:pPr>
          </w:p>
        </w:tc>
        <w:tc>
          <w:tcPr>
            <w:tcW w:w="15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927</w:t>
            </w:r>
          </w:p>
        </w:tc>
        <w:tc>
          <w:tcPr>
            <w:tcW w:w="100" w:type="dxa"/>
            <w:vAlign w:val="bottom"/>
            <w:shd w:val="clear" w:color="auto" w:fill="DBDBDB"/>
          </w:tcPr>
          <w:p>
            <w:pPr>
              <w:spacing w:after="0"/>
              <w:rPr>
                <w:sz w:val="19"/>
                <w:szCs w:val="19"/>
                <w:color w:val="auto"/>
              </w:rPr>
            </w:pPr>
          </w:p>
        </w:tc>
        <w:tc>
          <w:tcPr>
            <w:tcW w:w="520" w:type="dxa"/>
            <w:vAlign w:val="bottom"/>
            <w:shd w:val="clear" w:color="auto" w:fill="DBDBDB"/>
          </w:tcPr>
          <w:p>
            <w:pPr>
              <w:spacing w:after="0"/>
              <w:rPr>
                <w:sz w:val="19"/>
                <w:szCs w:val="19"/>
                <w:color w:val="auto"/>
              </w:rPr>
            </w:pPr>
          </w:p>
        </w:tc>
        <w:tc>
          <w:tcPr>
            <w:tcW w:w="1140" w:type="dxa"/>
            <w:vAlign w:val="bottom"/>
            <w:gridSpan w:val="2"/>
            <w:shd w:val="clear" w:color="auto" w:fill="DBDBDB"/>
          </w:tcPr>
          <w:p>
            <w:pPr>
              <w:jc w:val="right"/>
              <w:ind w:right="80"/>
              <w:spacing w:after="0"/>
              <w:rPr>
                <w:sz w:val="20"/>
                <w:szCs w:val="20"/>
                <w:color w:val="auto"/>
              </w:rPr>
            </w:pPr>
            <w:r>
              <w:rPr>
                <w:rFonts w:ascii="Arial" w:cs="Arial" w:eastAsia="Arial" w:hAnsi="Arial"/>
                <w:sz w:val="18"/>
                <w:szCs w:val="18"/>
                <w:color w:val="auto"/>
              </w:rPr>
              <w:t>666</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2,820</w:t>
            </w:r>
          </w:p>
        </w:tc>
        <w:tc>
          <w:tcPr>
            <w:tcW w:w="8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2,364</w:t>
            </w:r>
          </w:p>
        </w:tc>
        <w:tc>
          <w:tcPr>
            <w:tcW w:w="0" w:type="dxa"/>
            <w:vAlign w:val="bottom"/>
          </w:tcPr>
          <w:p>
            <w:pPr>
              <w:spacing w:after="0"/>
              <w:rPr>
                <w:sz w:val="1"/>
                <w:szCs w:val="1"/>
                <w:color w:val="auto"/>
              </w:rPr>
            </w:pPr>
          </w:p>
        </w:tc>
      </w:tr>
      <w:tr>
        <w:trPr>
          <w:trHeight w:val="229"/>
        </w:trPr>
        <w:tc>
          <w:tcPr>
            <w:tcW w:w="4280" w:type="dxa"/>
            <w:vAlign w:val="bottom"/>
          </w:tcPr>
          <w:p>
            <w:pPr>
              <w:ind w:left="240"/>
              <w:spacing w:after="0"/>
              <w:rPr>
                <w:sz w:val="20"/>
                <w:szCs w:val="20"/>
                <w:color w:val="auto"/>
              </w:rPr>
            </w:pPr>
            <w:r>
              <w:rPr>
                <w:rFonts w:ascii="Arial" w:cs="Arial" w:eastAsia="Arial" w:hAnsi="Arial"/>
                <w:sz w:val="18"/>
                <w:szCs w:val="18"/>
                <w:color w:val="auto"/>
              </w:rPr>
              <w:t>Gains on derivatives</w:t>
            </w: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464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451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784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30"/>
        </w:trPr>
        <w:tc>
          <w:tcPr>
            <w:tcW w:w="4280" w:type="dxa"/>
            <w:vAlign w:val="bottom"/>
            <w:shd w:val="clear" w:color="auto" w:fill="DBDBDB"/>
          </w:tcPr>
          <w:p>
            <w:pPr>
              <w:ind w:left="240"/>
              <w:spacing w:after="0"/>
              <w:rPr>
                <w:sz w:val="20"/>
                <w:szCs w:val="20"/>
                <w:color w:val="auto"/>
              </w:rPr>
            </w:pPr>
            <w:r>
              <w:rPr>
                <w:rFonts w:ascii="Arial" w:cs="Arial" w:eastAsia="Arial" w:hAnsi="Arial"/>
                <w:sz w:val="18"/>
                <w:szCs w:val="18"/>
                <w:color w:val="auto"/>
              </w:rPr>
              <w:t>Gains (losses) on sales of assets</w:t>
            </w:r>
          </w:p>
        </w:tc>
        <w:tc>
          <w:tcPr>
            <w:tcW w:w="140" w:type="dxa"/>
            <w:vAlign w:val="bottom"/>
            <w:tcBorders>
              <w:bottom w:val="single" w:sz="8" w:color="auto"/>
            </w:tcBorders>
            <w:shd w:val="clear" w:color="auto" w:fill="DBDBDB"/>
          </w:tcPr>
          <w:p>
            <w:pPr>
              <w:spacing w:after="0"/>
              <w:rPr>
                <w:sz w:val="19"/>
                <w:szCs w:val="19"/>
                <w:color w:val="auto"/>
              </w:rPr>
            </w:pPr>
          </w:p>
        </w:tc>
        <w:tc>
          <w:tcPr>
            <w:tcW w:w="15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DBDBDB"/>
          </w:tcPr>
          <w:p>
            <w:pPr>
              <w:spacing w:after="0"/>
              <w:rPr>
                <w:sz w:val="19"/>
                <w:szCs w:val="19"/>
                <w:color w:val="auto"/>
              </w:rPr>
            </w:pPr>
          </w:p>
        </w:tc>
        <w:tc>
          <w:tcPr>
            <w:tcW w:w="520" w:type="dxa"/>
            <w:vAlign w:val="bottom"/>
            <w:tcBorders>
              <w:bottom w:val="single" w:sz="8" w:color="auto"/>
            </w:tcBorders>
            <w:shd w:val="clear" w:color="auto" w:fill="DBDBDB"/>
          </w:tcPr>
          <w:p>
            <w:pPr>
              <w:spacing w:after="0"/>
              <w:rPr>
                <w:sz w:val="19"/>
                <w:szCs w:val="19"/>
                <w:color w:val="auto"/>
              </w:rPr>
            </w:pPr>
          </w:p>
        </w:tc>
        <w:tc>
          <w:tcPr>
            <w:tcW w:w="1140" w:type="dxa"/>
            <w:vAlign w:val="bottom"/>
            <w:tcBorders>
              <w:bottom w:val="single" w:sz="8" w:color="auto"/>
            </w:tcBorders>
            <w:gridSpan w:val="2"/>
            <w:shd w:val="clear" w:color="auto" w:fill="DBDBDB"/>
          </w:tcPr>
          <w:p>
            <w:pPr>
              <w:jc w:val="right"/>
              <w:ind w:right="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15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w:t>
            </w:r>
          </w:p>
        </w:tc>
        <w:tc>
          <w:tcPr>
            <w:tcW w:w="80" w:type="dxa"/>
            <w:vAlign w:val="bottom"/>
            <w:shd w:val="clear" w:color="auto" w:fill="DBDBDB"/>
          </w:tcPr>
          <w:p>
            <w:pPr>
              <w:spacing w:after="0"/>
              <w:rPr>
                <w:sz w:val="19"/>
                <w:szCs w:val="19"/>
                <w:color w:val="auto"/>
              </w:rPr>
            </w:pPr>
          </w:p>
        </w:tc>
        <w:tc>
          <w:tcPr>
            <w:tcW w:w="380" w:type="dxa"/>
            <w:vAlign w:val="bottom"/>
            <w:tcBorders>
              <w:bottom w:val="single" w:sz="8" w:color="auto"/>
            </w:tcBorders>
            <w:shd w:val="clear" w:color="auto" w:fill="DBDBDB"/>
          </w:tcPr>
          <w:p>
            <w:pPr>
              <w:spacing w:after="0"/>
              <w:rPr>
                <w:sz w:val="19"/>
                <w:szCs w:val="19"/>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4280" w:type="dxa"/>
            <w:vAlign w:val="bottom"/>
            <w:tcBorders>
              <w:bottom w:val="single" w:sz="8" w:color="DBDBDB"/>
            </w:tcBorders>
          </w:tcPr>
          <w:p>
            <w:pPr>
              <w:ind w:left="460"/>
              <w:spacing w:after="0"/>
              <w:rPr>
                <w:sz w:val="20"/>
                <w:szCs w:val="20"/>
                <w:color w:val="auto"/>
              </w:rPr>
            </w:pPr>
            <w:r>
              <w:rPr>
                <w:rFonts w:ascii="Arial" w:cs="Arial" w:eastAsia="Arial" w:hAnsi="Arial"/>
                <w:sz w:val="18"/>
                <w:szCs w:val="18"/>
                <w:color w:val="auto"/>
              </w:rPr>
              <w:t>Total revenues and other</w:t>
            </w:r>
          </w:p>
        </w:tc>
        <w:tc>
          <w:tcPr>
            <w:tcW w:w="1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3,286</w:t>
            </w:r>
          </w:p>
        </w:tc>
        <w:tc>
          <w:tcPr>
            <w:tcW w:w="100" w:type="dxa"/>
            <w:vAlign w:val="bottom"/>
            <w:tcBorders>
              <w:bottom w:val="single" w:sz="8" w:color="DBDBDB"/>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2,966</w:t>
            </w:r>
          </w:p>
        </w:tc>
        <w:tc>
          <w:tcPr>
            <w:tcW w:w="10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10,643</w:t>
            </w:r>
          </w:p>
        </w:tc>
        <w:tc>
          <w:tcPr>
            <w:tcW w:w="80" w:type="dxa"/>
            <w:vAlign w:val="bottom"/>
            <w:tcBorders>
              <w:bottom w:val="single" w:sz="8" w:color="DBDBDB"/>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8,852</w:t>
            </w:r>
          </w:p>
        </w:tc>
        <w:tc>
          <w:tcPr>
            <w:tcW w:w="0" w:type="dxa"/>
            <w:vAlign w:val="bottom"/>
          </w:tcPr>
          <w:p>
            <w:pPr>
              <w:spacing w:after="0"/>
              <w:rPr>
                <w:sz w:val="1"/>
                <w:szCs w:val="1"/>
                <w:color w:val="auto"/>
              </w:rPr>
            </w:pPr>
          </w:p>
        </w:tc>
      </w:tr>
      <w:tr>
        <w:trPr>
          <w:trHeight w:val="210"/>
        </w:trPr>
        <w:tc>
          <w:tcPr>
            <w:tcW w:w="428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Operating expenses:</w:t>
            </w:r>
          </w:p>
        </w:tc>
        <w:tc>
          <w:tcPr>
            <w:tcW w:w="140" w:type="dxa"/>
            <w:vAlign w:val="bottom"/>
            <w:shd w:val="clear" w:color="auto" w:fill="DBDBDB"/>
          </w:tcPr>
          <w:p>
            <w:pPr>
              <w:spacing w:after="0"/>
              <w:rPr>
                <w:sz w:val="18"/>
                <w:szCs w:val="18"/>
                <w:color w:val="auto"/>
              </w:rPr>
            </w:pPr>
          </w:p>
        </w:tc>
        <w:tc>
          <w:tcPr>
            <w:tcW w:w="15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52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0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50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3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80" w:type="dxa"/>
            <w:vAlign w:val="bottom"/>
          </w:tcPr>
          <w:p>
            <w:pPr>
              <w:ind w:left="240"/>
              <w:spacing w:after="0"/>
              <w:rPr>
                <w:sz w:val="20"/>
                <w:szCs w:val="20"/>
                <w:color w:val="auto"/>
              </w:rPr>
            </w:pPr>
            <w:r>
              <w:rPr>
                <w:rFonts w:ascii="Arial" w:cs="Arial" w:eastAsia="Arial" w:hAnsi="Arial"/>
                <w:sz w:val="18"/>
                <w:szCs w:val="18"/>
                <w:color w:val="auto"/>
              </w:rPr>
              <w:t>Production</w:t>
            </w: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521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30"/>
        </w:trPr>
        <w:tc>
          <w:tcPr>
            <w:tcW w:w="4280" w:type="dxa"/>
            <w:vAlign w:val="bottom"/>
            <w:shd w:val="clear" w:color="auto" w:fill="DBDBDB"/>
          </w:tcPr>
          <w:p>
            <w:pPr>
              <w:ind w:left="240"/>
              <w:spacing w:after="0"/>
              <w:rPr>
                <w:sz w:val="20"/>
                <w:szCs w:val="20"/>
                <w:color w:val="auto"/>
              </w:rPr>
            </w:pPr>
            <w:r>
              <w:rPr>
                <w:rFonts w:ascii="Arial" w:cs="Arial" w:eastAsia="Arial" w:hAnsi="Arial"/>
                <w:sz w:val="18"/>
                <w:szCs w:val="18"/>
                <w:color w:val="auto"/>
              </w:rPr>
              <w:t>Gathering, processing and transportation</w:t>
            </w:r>
          </w:p>
        </w:tc>
        <w:tc>
          <w:tcPr>
            <w:tcW w:w="140" w:type="dxa"/>
            <w:vAlign w:val="bottom"/>
            <w:shd w:val="clear" w:color="auto" w:fill="DBDBDB"/>
          </w:tcPr>
          <w:p>
            <w:pPr>
              <w:spacing w:after="0"/>
              <w:rPr>
                <w:sz w:val="19"/>
                <w:szCs w:val="19"/>
                <w:color w:val="auto"/>
              </w:rPr>
            </w:pPr>
          </w:p>
        </w:tc>
        <w:tc>
          <w:tcPr>
            <w:tcW w:w="15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678</w:t>
            </w:r>
          </w:p>
        </w:tc>
        <w:tc>
          <w:tcPr>
            <w:tcW w:w="100" w:type="dxa"/>
            <w:vAlign w:val="bottom"/>
            <w:shd w:val="clear" w:color="auto" w:fill="DBDBDB"/>
          </w:tcPr>
          <w:p>
            <w:pPr>
              <w:spacing w:after="0"/>
              <w:rPr>
                <w:sz w:val="19"/>
                <w:szCs w:val="19"/>
                <w:color w:val="auto"/>
              </w:rPr>
            </w:pPr>
          </w:p>
        </w:tc>
        <w:tc>
          <w:tcPr>
            <w:tcW w:w="520" w:type="dxa"/>
            <w:vAlign w:val="bottom"/>
            <w:shd w:val="clear" w:color="auto" w:fill="DBDBDB"/>
          </w:tcPr>
          <w:p>
            <w:pPr>
              <w:spacing w:after="0"/>
              <w:rPr>
                <w:sz w:val="19"/>
                <w:szCs w:val="19"/>
                <w:color w:val="auto"/>
              </w:rPr>
            </w:pPr>
          </w:p>
        </w:tc>
        <w:tc>
          <w:tcPr>
            <w:tcW w:w="1140" w:type="dxa"/>
            <w:vAlign w:val="bottom"/>
            <w:gridSpan w:val="2"/>
            <w:shd w:val="clear" w:color="auto" w:fill="DBDBDB"/>
          </w:tcPr>
          <w:p>
            <w:pPr>
              <w:jc w:val="right"/>
              <w:ind w:right="80"/>
              <w:spacing w:after="0"/>
              <w:rPr>
                <w:sz w:val="20"/>
                <w:szCs w:val="20"/>
                <w:color w:val="auto"/>
              </w:rPr>
            </w:pPr>
            <w:r>
              <w:rPr>
                <w:rFonts w:ascii="Arial" w:cs="Arial" w:eastAsia="Arial" w:hAnsi="Arial"/>
                <w:sz w:val="18"/>
                <w:szCs w:val="18"/>
                <w:color w:val="auto"/>
              </w:rPr>
              <w:t>608</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2,002</w:t>
            </w:r>
          </w:p>
        </w:tc>
        <w:tc>
          <w:tcPr>
            <w:tcW w:w="8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1,734</w:t>
            </w:r>
          </w:p>
        </w:tc>
        <w:tc>
          <w:tcPr>
            <w:tcW w:w="0" w:type="dxa"/>
            <w:vAlign w:val="bottom"/>
          </w:tcPr>
          <w:p>
            <w:pPr>
              <w:spacing w:after="0"/>
              <w:rPr>
                <w:sz w:val="1"/>
                <w:szCs w:val="1"/>
                <w:color w:val="auto"/>
              </w:rPr>
            </w:pPr>
          </w:p>
        </w:tc>
      </w:tr>
      <w:tr>
        <w:trPr>
          <w:trHeight w:val="229"/>
        </w:trPr>
        <w:tc>
          <w:tcPr>
            <w:tcW w:w="4280" w:type="dxa"/>
            <w:vAlign w:val="bottom"/>
          </w:tcPr>
          <w:p>
            <w:pPr>
              <w:ind w:left="240"/>
              <w:spacing w:after="0"/>
              <w:rPr>
                <w:sz w:val="20"/>
                <w:szCs w:val="20"/>
                <w:color w:val="auto"/>
              </w:rPr>
            </w:pPr>
            <w:r>
              <w:rPr>
                <w:rFonts w:ascii="Arial" w:cs="Arial" w:eastAsia="Arial" w:hAnsi="Arial"/>
                <w:sz w:val="18"/>
                <w:szCs w:val="18"/>
                <w:color w:val="auto"/>
              </w:rPr>
              <w:t>Severance and ad valorem taxes</w:t>
            </w: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181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29"/>
        </w:trPr>
        <w:tc>
          <w:tcPr>
            <w:tcW w:w="4280" w:type="dxa"/>
            <w:vAlign w:val="bottom"/>
            <w:shd w:val="clear" w:color="auto" w:fill="DBDBDB"/>
          </w:tcPr>
          <w:p>
            <w:pPr>
              <w:ind w:left="240"/>
              <w:spacing w:after="0"/>
              <w:rPr>
                <w:sz w:val="20"/>
                <w:szCs w:val="20"/>
                <w:color w:val="auto"/>
              </w:rPr>
            </w:pPr>
            <w:r>
              <w:rPr>
                <w:rFonts w:ascii="Arial" w:cs="Arial" w:eastAsia="Arial" w:hAnsi="Arial"/>
                <w:sz w:val="18"/>
                <w:szCs w:val="18"/>
                <w:color w:val="auto"/>
              </w:rPr>
              <w:t>Exploration</w:t>
            </w:r>
          </w:p>
        </w:tc>
        <w:tc>
          <w:tcPr>
            <w:tcW w:w="140" w:type="dxa"/>
            <w:vAlign w:val="bottom"/>
            <w:shd w:val="clear" w:color="auto" w:fill="DBDBDB"/>
          </w:tcPr>
          <w:p>
            <w:pPr>
              <w:spacing w:after="0"/>
              <w:rPr>
                <w:sz w:val="19"/>
                <w:szCs w:val="19"/>
                <w:color w:val="auto"/>
              </w:rPr>
            </w:pPr>
          </w:p>
        </w:tc>
        <w:tc>
          <w:tcPr>
            <w:tcW w:w="15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DBDBDB"/>
          </w:tcPr>
          <w:p>
            <w:pPr>
              <w:spacing w:after="0"/>
              <w:rPr>
                <w:sz w:val="19"/>
                <w:szCs w:val="19"/>
                <w:color w:val="auto"/>
              </w:rPr>
            </w:pPr>
          </w:p>
        </w:tc>
        <w:tc>
          <w:tcPr>
            <w:tcW w:w="520" w:type="dxa"/>
            <w:vAlign w:val="bottom"/>
            <w:shd w:val="clear" w:color="auto" w:fill="DBDBDB"/>
          </w:tcPr>
          <w:p>
            <w:pPr>
              <w:spacing w:after="0"/>
              <w:rPr>
                <w:sz w:val="19"/>
                <w:szCs w:val="19"/>
                <w:color w:val="auto"/>
              </w:rPr>
            </w:pPr>
          </w:p>
        </w:tc>
        <w:tc>
          <w:tcPr>
            <w:tcW w:w="1140" w:type="dxa"/>
            <w:vAlign w:val="bottom"/>
            <w:gridSpan w:val="2"/>
            <w:shd w:val="clear" w:color="auto" w:fill="DBDBDB"/>
          </w:tcPr>
          <w:p>
            <w:pPr>
              <w:jc w:val="right"/>
              <w:ind w:right="80"/>
              <w:spacing w:after="0"/>
              <w:rPr>
                <w:sz w:val="20"/>
                <w:szCs w:val="20"/>
                <w:color w:val="auto"/>
              </w:rPr>
            </w:pPr>
            <w:r>
              <w:rPr>
                <w:rFonts w:ascii="Arial" w:cs="Arial" w:eastAsia="Arial" w:hAnsi="Arial"/>
                <w:sz w:val="18"/>
                <w:szCs w:val="18"/>
                <w:color w:val="auto"/>
              </w:rPr>
              <w:t>3</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49</w:t>
            </w:r>
          </w:p>
        </w:tc>
        <w:tc>
          <w:tcPr>
            <w:tcW w:w="8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4280" w:type="dxa"/>
            <w:vAlign w:val="bottom"/>
          </w:tcPr>
          <w:p>
            <w:pPr>
              <w:ind w:left="240"/>
              <w:spacing w:after="0"/>
              <w:rPr>
                <w:sz w:val="20"/>
                <w:szCs w:val="20"/>
                <w:color w:val="auto"/>
              </w:rPr>
            </w:pPr>
            <w:r>
              <w:rPr>
                <w:rFonts w:ascii="Arial" w:cs="Arial" w:eastAsia="Arial" w:hAnsi="Arial"/>
                <w:sz w:val="18"/>
                <w:szCs w:val="18"/>
                <w:color w:val="auto"/>
              </w:rPr>
              <w:t>Marketing</w:t>
            </w: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888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659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2,658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2,369</w:t>
            </w:r>
          </w:p>
        </w:tc>
        <w:tc>
          <w:tcPr>
            <w:tcW w:w="0" w:type="dxa"/>
            <w:vAlign w:val="bottom"/>
          </w:tcPr>
          <w:p>
            <w:pPr>
              <w:spacing w:after="0"/>
              <w:rPr>
                <w:sz w:val="1"/>
                <w:szCs w:val="1"/>
                <w:color w:val="auto"/>
              </w:rPr>
            </w:pPr>
          </w:p>
        </w:tc>
      </w:tr>
      <w:tr>
        <w:trPr>
          <w:trHeight w:val="229"/>
        </w:trPr>
        <w:tc>
          <w:tcPr>
            <w:tcW w:w="4280" w:type="dxa"/>
            <w:vAlign w:val="bottom"/>
            <w:shd w:val="clear" w:color="auto" w:fill="DBDBDB"/>
          </w:tcPr>
          <w:p>
            <w:pPr>
              <w:ind w:left="240"/>
              <w:spacing w:after="0"/>
              <w:rPr>
                <w:sz w:val="20"/>
                <w:szCs w:val="20"/>
                <w:color w:val="auto"/>
              </w:rPr>
            </w:pPr>
            <w:r>
              <w:rPr>
                <w:rFonts w:ascii="Arial" w:cs="Arial" w:eastAsia="Arial" w:hAnsi="Arial"/>
                <w:sz w:val="18"/>
                <w:szCs w:val="18"/>
                <w:color w:val="auto"/>
              </w:rPr>
              <w:t>General and administrative</w:t>
            </w:r>
          </w:p>
        </w:tc>
        <w:tc>
          <w:tcPr>
            <w:tcW w:w="140" w:type="dxa"/>
            <w:vAlign w:val="bottom"/>
            <w:shd w:val="clear" w:color="auto" w:fill="DBDBDB"/>
          </w:tcPr>
          <w:p>
            <w:pPr>
              <w:spacing w:after="0"/>
              <w:rPr>
                <w:sz w:val="19"/>
                <w:szCs w:val="19"/>
                <w:color w:val="auto"/>
              </w:rPr>
            </w:pPr>
          </w:p>
        </w:tc>
        <w:tc>
          <w:tcPr>
            <w:tcW w:w="15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DBDBDB"/>
          </w:tcPr>
          <w:p>
            <w:pPr>
              <w:spacing w:after="0"/>
              <w:rPr>
                <w:sz w:val="19"/>
                <w:szCs w:val="19"/>
                <w:color w:val="auto"/>
              </w:rPr>
            </w:pPr>
          </w:p>
        </w:tc>
        <w:tc>
          <w:tcPr>
            <w:tcW w:w="520" w:type="dxa"/>
            <w:vAlign w:val="bottom"/>
            <w:shd w:val="clear" w:color="auto" w:fill="DBDBDB"/>
          </w:tcPr>
          <w:p>
            <w:pPr>
              <w:spacing w:after="0"/>
              <w:rPr>
                <w:sz w:val="19"/>
                <w:szCs w:val="19"/>
                <w:color w:val="auto"/>
              </w:rPr>
            </w:pPr>
          </w:p>
        </w:tc>
        <w:tc>
          <w:tcPr>
            <w:tcW w:w="1140" w:type="dxa"/>
            <w:vAlign w:val="bottom"/>
            <w:gridSpan w:val="2"/>
            <w:shd w:val="clear" w:color="auto" w:fill="DBDBDB"/>
          </w:tcPr>
          <w:p>
            <w:pPr>
              <w:jc w:val="right"/>
              <w:ind w:right="80"/>
              <w:spacing w:after="0"/>
              <w:rPr>
                <w:sz w:val="20"/>
                <w:szCs w:val="20"/>
                <w:color w:val="auto"/>
              </w:rPr>
            </w:pPr>
            <w:r>
              <w:rPr>
                <w:rFonts w:ascii="Arial" w:cs="Arial" w:eastAsia="Arial" w:hAnsi="Arial"/>
                <w:sz w:val="18"/>
                <w:szCs w:val="18"/>
                <w:color w:val="auto"/>
              </w:rPr>
              <w:t>45</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163</w:t>
            </w:r>
          </w:p>
        </w:tc>
        <w:tc>
          <w:tcPr>
            <w:tcW w:w="8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29"/>
        </w:trPr>
        <w:tc>
          <w:tcPr>
            <w:tcW w:w="4280" w:type="dxa"/>
            <w:vAlign w:val="bottom"/>
          </w:tcPr>
          <w:p>
            <w:pPr>
              <w:ind w:left="240"/>
              <w:spacing w:after="0"/>
              <w:rPr>
                <w:sz w:val="20"/>
                <w:szCs w:val="20"/>
                <w:color w:val="auto"/>
              </w:rPr>
            </w:pPr>
            <w:r>
              <w:rPr>
                <w:rFonts w:ascii="Arial" w:cs="Arial" w:eastAsia="Arial" w:hAnsi="Arial"/>
                <w:sz w:val="18"/>
                <w:szCs w:val="18"/>
                <w:color w:val="auto"/>
              </w:rPr>
              <w:t>Separation and other termination costs</w:t>
            </w: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4280" w:type="dxa"/>
            <w:vAlign w:val="bottom"/>
            <w:shd w:val="clear" w:color="auto" w:fill="DBDBDB"/>
          </w:tcPr>
          <w:p>
            <w:pPr>
              <w:ind w:left="240"/>
              <w:spacing w:after="0"/>
              <w:rPr>
                <w:sz w:val="20"/>
                <w:szCs w:val="20"/>
                <w:color w:val="auto"/>
              </w:rPr>
            </w:pPr>
            <w:r>
              <w:rPr>
                <w:rFonts w:ascii="Arial" w:cs="Arial" w:eastAsia="Arial" w:hAnsi="Arial"/>
                <w:sz w:val="18"/>
                <w:szCs w:val="18"/>
                <w:color w:val="auto"/>
              </w:rPr>
              <w:t>Depreciation, depletion and amortization</w:t>
            </w:r>
          </w:p>
        </w:tc>
        <w:tc>
          <w:tcPr>
            <w:tcW w:w="140" w:type="dxa"/>
            <w:vAlign w:val="bottom"/>
            <w:shd w:val="clear" w:color="auto" w:fill="DBDBDB"/>
          </w:tcPr>
          <w:p>
            <w:pPr>
              <w:spacing w:after="0"/>
              <w:rPr>
                <w:sz w:val="19"/>
                <w:szCs w:val="19"/>
                <w:color w:val="auto"/>
              </w:rPr>
            </w:pPr>
          </w:p>
        </w:tc>
        <w:tc>
          <w:tcPr>
            <w:tcW w:w="15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750</w:t>
            </w:r>
          </w:p>
        </w:tc>
        <w:tc>
          <w:tcPr>
            <w:tcW w:w="100" w:type="dxa"/>
            <w:vAlign w:val="bottom"/>
            <w:shd w:val="clear" w:color="auto" w:fill="DBDBDB"/>
          </w:tcPr>
          <w:p>
            <w:pPr>
              <w:spacing w:after="0"/>
              <w:rPr>
                <w:sz w:val="19"/>
                <w:szCs w:val="19"/>
                <w:color w:val="auto"/>
              </w:rPr>
            </w:pPr>
          </w:p>
        </w:tc>
        <w:tc>
          <w:tcPr>
            <w:tcW w:w="520" w:type="dxa"/>
            <w:vAlign w:val="bottom"/>
            <w:shd w:val="clear" w:color="auto" w:fill="DBDBDB"/>
          </w:tcPr>
          <w:p>
            <w:pPr>
              <w:spacing w:after="0"/>
              <w:rPr>
                <w:sz w:val="19"/>
                <w:szCs w:val="19"/>
                <w:color w:val="auto"/>
              </w:rPr>
            </w:pPr>
          </w:p>
        </w:tc>
        <w:tc>
          <w:tcPr>
            <w:tcW w:w="1140" w:type="dxa"/>
            <w:vAlign w:val="bottom"/>
            <w:gridSpan w:val="2"/>
            <w:shd w:val="clear" w:color="auto" w:fill="DBDBDB"/>
          </w:tcPr>
          <w:p>
            <w:pPr>
              <w:jc w:val="right"/>
              <w:ind w:right="80"/>
              <w:spacing w:after="0"/>
              <w:rPr>
                <w:sz w:val="20"/>
                <w:szCs w:val="20"/>
                <w:color w:val="auto"/>
              </w:rPr>
            </w:pPr>
            <w:r>
              <w:rPr>
                <w:rFonts w:ascii="Arial" w:cs="Arial" w:eastAsia="Arial" w:hAnsi="Arial"/>
                <w:sz w:val="18"/>
                <w:szCs w:val="18"/>
                <w:color w:val="auto"/>
              </w:rPr>
              <w:t>741</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2,183</w:t>
            </w:r>
          </w:p>
        </w:tc>
        <w:tc>
          <w:tcPr>
            <w:tcW w:w="8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2,221</w:t>
            </w:r>
          </w:p>
        </w:tc>
        <w:tc>
          <w:tcPr>
            <w:tcW w:w="0" w:type="dxa"/>
            <w:vAlign w:val="bottom"/>
          </w:tcPr>
          <w:p>
            <w:pPr>
              <w:spacing w:after="0"/>
              <w:rPr>
                <w:sz w:val="1"/>
                <w:szCs w:val="1"/>
                <w:color w:val="auto"/>
              </w:rPr>
            </w:pPr>
          </w:p>
        </w:tc>
      </w:tr>
      <w:tr>
        <w:trPr>
          <w:trHeight w:val="229"/>
        </w:trPr>
        <w:tc>
          <w:tcPr>
            <w:tcW w:w="4280" w:type="dxa"/>
            <w:vAlign w:val="bottom"/>
            <w:tcBorders>
              <w:bottom w:val="single" w:sz="8" w:color="DBDBDB"/>
            </w:tcBorders>
          </w:tcPr>
          <w:p>
            <w:pPr>
              <w:ind w:left="240"/>
              <w:spacing w:after="0"/>
              <w:rPr>
                <w:sz w:val="20"/>
                <w:szCs w:val="20"/>
                <w:color w:val="auto"/>
              </w:rPr>
            </w:pPr>
            <w:r>
              <w:rPr>
                <w:rFonts w:ascii="Arial" w:cs="Arial" w:eastAsia="Arial" w:hAnsi="Arial"/>
                <w:sz w:val="18"/>
                <w:szCs w:val="18"/>
                <w:color w:val="auto"/>
              </w:rPr>
              <w:t>Other operating expense (income), net</w:t>
            </w:r>
          </w:p>
        </w:tc>
        <w:tc>
          <w:tcPr>
            <w:tcW w:w="1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DBDBDB"/>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80" w:type="dxa"/>
            <w:vAlign w:val="bottom"/>
            <w:tcBorders>
              <w:bottom w:val="single" w:sz="8" w:color="DBDBDB"/>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3"/>
        </w:trPr>
        <w:tc>
          <w:tcPr>
            <w:tcW w:w="4280" w:type="dxa"/>
            <w:vAlign w:val="bottom"/>
            <w:shd w:val="clear" w:color="auto" w:fill="DBDBDB"/>
          </w:tcPr>
          <w:p>
            <w:pPr>
              <w:ind w:left="46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auto"/>
            </w:tcBorders>
            <w:shd w:val="clear" w:color="auto" w:fill="DBDBDB"/>
          </w:tcPr>
          <w:p>
            <w:pPr>
              <w:spacing w:after="0"/>
              <w:rPr>
                <w:sz w:val="19"/>
                <w:szCs w:val="19"/>
                <w:color w:val="auto"/>
              </w:rPr>
            </w:pPr>
          </w:p>
        </w:tc>
        <w:tc>
          <w:tcPr>
            <w:tcW w:w="15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2,646</w:t>
            </w:r>
          </w:p>
        </w:tc>
        <w:tc>
          <w:tcPr>
            <w:tcW w:w="100" w:type="dxa"/>
            <w:vAlign w:val="bottom"/>
            <w:shd w:val="clear" w:color="auto" w:fill="DBDBDB"/>
          </w:tcPr>
          <w:p>
            <w:pPr>
              <w:spacing w:after="0"/>
              <w:rPr>
                <w:sz w:val="19"/>
                <w:szCs w:val="19"/>
                <w:color w:val="auto"/>
              </w:rPr>
            </w:pPr>
          </w:p>
        </w:tc>
        <w:tc>
          <w:tcPr>
            <w:tcW w:w="520" w:type="dxa"/>
            <w:vAlign w:val="bottom"/>
            <w:tcBorders>
              <w:bottom w:val="single" w:sz="8" w:color="auto"/>
            </w:tcBorders>
            <w:shd w:val="clear" w:color="auto" w:fill="DBDBDB"/>
          </w:tcPr>
          <w:p>
            <w:pPr>
              <w:spacing w:after="0"/>
              <w:rPr>
                <w:sz w:val="19"/>
                <w:szCs w:val="19"/>
                <w:color w:val="auto"/>
              </w:rPr>
            </w:pPr>
          </w:p>
        </w:tc>
        <w:tc>
          <w:tcPr>
            <w:tcW w:w="1140" w:type="dxa"/>
            <w:vAlign w:val="bottom"/>
            <w:tcBorders>
              <w:bottom w:val="single" w:sz="8" w:color="auto"/>
            </w:tcBorders>
            <w:gridSpan w:val="2"/>
            <w:shd w:val="clear" w:color="auto" w:fill="DBDBDB"/>
          </w:tcPr>
          <w:p>
            <w:pPr>
              <w:jc w:val="right"/>
              <w:ind w:right="80"/>
              <w:spacing w:after="0"/>
              <w:rPr>
                <w:sz w:val="20"/>
                <w:szCs w:val="20"/>
                <w:color w:val="auto"/>
              </w:rPr>
            </w:pPr>
            <w:r>
              <w:rPr>
                <w:rFonts w:ascii="Arial" w:cs="Arial" w:eastAsia="Arial" w:hAnsi="Arial"/>
                <w:sz w:val="18"/>
                <w:szCs w:val="18"/>
                <w:color w:val="auto"/>
              </w:rPr>
              <w:t>2,241</w:t>
            </w:r>
          </w:p>
        </w:tc>
        <w:tc>
          <w:tcPr>
            <w:tcW w:w="10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15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7,811</w:t>
            </w:r>
          </w:p>
        </w:tc>
        <w:tc>
          <w:tcPr>
            <w:tcW w:w="80" w:type="dxa"/>
            <w:vAlign w:val="bottom"/>
            <w:shd w:val="clear" w:color="auto" w:fill="DBDBDB"/>
          </w:tcPr>
          <w:p>
            <w:pPr>
              <w:spacing w:after="0"/>
              <w:rPr>
                <w:sz w:val="19"/>
                <w:szCs w:val="19"/>
                <w:color w:val="auto"/>
              </w:rPr>
            </w:pPr>
          </w:p>
        </w:tc>
        <w:tc>
          <w:tcPr>
            <w:tcW w:w="380" w:type="dxa"/>
            <w:vAlign w:val="bottom"/>
            <w:tcBorders>
              <w:bottom w:val="single" w:sz="8" w:color="auto"/>
            </w:tcBorders>
            <w:shd w:val="clear" w:color="auto" w:fill="DBDBDB"/>
          </w:tcPr>
          <w:p>
            <w:pPr>
              <w:spacing w:after="0"/>
              <w:rPr>
                <w:sz w:val="19"/>
                <w:szCs w:val="19"/>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7,126</w:t>
            </w:r>
          </w:p>
        </w:tc>
        <w:tc>
          <w:tcPr>
            <w:tcW w:w="0" w:type="dxa"/>
            <w:vAlign w:val="bottom"/>
          </w:tcPr>
          <w:p>
            <w:pPr>
              <w:spacing w:after="0"/>
              <w:rPr>
                <w:sz w:val="1"/>
                <w:szCs w:val="1"/>
                <w:color w:val="auto"/>
              </w:rPr>
            </w:pPr>
          </w:p>
        </w:tc>
      </w:tr>
      <w:tr>
        <w:trPr>
          <w:trHeight w:val="223"/>
        </w:trPr>
        <w:tc>
          <w:tcPr>
            <w:tcW w:w="4280" w:type="dxa"/>
            <w:vAlign w:val="bottom"/>
            <w:tcBorders>
              <w:bottom w:val="single" w:sz="8" w:color="DBDBDB"/>
            </w:tcBorders>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1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w:t>
            </w:r>
          </w:p>
        </w:tc>
        <w:tc>
          <w:tcPr>
            <w:tcW w:w="100" w:type="dxa"/>
            <w:vAlign w:val="bottom"/>
            <w:tcBorders>
              <w:bottom w:val="single" w:sz="8" w:color="DBDBDB"/>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725</w:t>
            </w:r>
          </w:p>
        </w:tc>
        <w:tc>
          <w:tcPr>
            <w:tcW w:w="10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2,832</w:t>
            </w:r>
          </w:p>
        </w:tc>
        <w:tc>
          <w:tcPr>
            <w:tcW w:w="80" w:type="dxa"/>
            <w:vAlign w:val="bottom"/>
            <w:tcBorders>
              <w:bottom w:val="single" w:sz="8" w:color="DBDBDB"/>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1,726</w:t>
            </w:r>
          </w:p>
        </w:tc>
        <w:tc>
          <w:tcPr>
            <w:tcW w:w="0" w:type="dxa"/>
            <w:vAlign w:val="bottom"/>
          </w:tcPr>
          <w:p>
            <w:pPr>
              <w:spacing w:after="0"/>
              <w:rPr>
                <w:sz w:val="1"/>
                <w:szCs w:val="1"/>
                <w:color w:val="auto"/>
              </w:rPr>
            </w:pPr>
          </w:p>
        </w:tc>
      </w:tr>
      <w:tr>
        <w:trPr>
          <w:trHeight w:val="209"/>
        </w:trPr>
        <w:tc>
          <w:tcPr>
            <w:tcW w:w="428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140" w:type="dxa"/>
            <w:vAlign w:val="bottom"/>
            <w:shd w:val="clear" w:color="auto" w:fill="DBDBDB"/>
          </w:tcPr>
          <w:p>
            <w:pPr>
              <w:spacing w:after="0"/>
              <w:rPr>
                <w:sz w:val="18"/>
                <w:szCs w:val="18"/>
                <w:color w:val="auto"/>
              </w:rPr>
            </w:pPr>
          </w:p>
        </w:tc>
        <w:tc>
          <w:tcPr>
            <w:tcW w:w="15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52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0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50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3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8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(146)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175"/>
        </w:trPr>
        <w:tc>
          <w:tcPr>
            <w:tcW w:w="4280" w:type="dxa"/>
            <w:vAlign w:val="bottom"/>
            <w:shd w:val="clear" w:color="auto" w:fill="DBDBDB"/>
          </w:tcPr>
          <w:p>
            <w:pPr>
              <w:ind w:left="240"/>
              <w:spacing w:after="0" w:line="176" w:lineRule="exact"/>
              <w:rPr>
                <w:sz w:val="20"/>
                <w:szCs w:val="20"/>
                <w:color w:val="auto"/>
              </w:rPr>
            </w:pPr>
            <w:r>
              <w:rPr>
                <w:rFonts w:ascii="Arial" w:cs="Arial" w:eastAsia="Arial" w:hAnsi="Arial"/>
                <w:sz w:val="18"/>
                <w:szCs w:val="18"/>
                <w:color w:val="auto"/>
              </w:rPr>
              <w:t>Gains on purchases, exchanges or</w:t>
            </w:r>
          </w:p>
        </w:tc>
        <w:tc>
          <w:tcPr>
            <w:tcW w:w="140" w:type="dxa"/>
            <w:vAlign w:val="bottom"/>
            <w:shd w:val="clear" w:color="auto" w:fill="DBDBDB"/>
          </w:tcPr>
          <w:p>
            <w:pPr>
              <w:spacing w:after="0"/>
              <w:rPr>
                <w:sz w:val="15"/>
                <w:szCs w:val="15"/>
                <w:color w:val="auto"/>
              </w:rPr>
            </w:pPr>
          </w:p>
        </w:tc>
        <w:tc>
          <w:tcPr>
            <w:tcW w:w="1620" w:type="dxa"/>
            <w:vAlign w:val="bottom"/>
            <w:gridSpan w:val="2"/>
            <w:vMerge w:val="restart"/>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shd w:val="clear" w:color="auto" w:fill="DBDBDB"/>
          </w:tcPr>
          <w:p>
            <w:pPr>
              <w:spacing w:after="0"/>
              <w:rPr>
                <w:sz w:val="15"/>
                <w:szCs w:val="15"/>
                <w:color w:val="auto"/>
              </w:rPr>
            </w:pPr>
          </w:p>
        </w:tc>
        <w:tc>
          <w:tcPr>
            <w:tcW w:w="1140" w:type="dxa"/>
            <w:vAlign w:val="bottom"/>
            <w:gridSpan w:val="2"/>
            <w:vMerge w:val="restart"/>
            <w:shd w:val="clear" w:color="auto" w:fill="DBDBDB"/>
          </w:tcPr>
          <w:p>
            <w:pPr>
              <w:jc w:val="right"/>
              <w:ind w:right="80"/>
              <w:spacing w:after="0"/>
              <w:rPr>
                <w:sz w:val="20"/>
                <w:szCs w:val="20"/>
                <w:color w:val="auto"/>
              </w:rPr>
            </w:pPr>
            <w:r>
              <w:rPr>
                <w:rFonts w:ascii="Arial" w:cs="Arial" w:eastAsia="Arial" w:hAnsi="Arial"/>
                <w:sz w:val="18"/>
                <w:szCs w:val="18"/>
                <w:color w:val="auto"/>
              </w:rPr>
              <w:t>1</w:t>
            </w:r>
          </w:p>
        </w:tc>
        <w:tc>
          <w:tcPr>
            <w:tcW w:w="100" w:type="dxa"/>
            <w:vAlign w:val="bottom"/>
            <w:shd w:val="clear" w:color="auto" w:fill="DBDBDB"/>
          </w:tcPr>
          <w:p>
            <w:pPr>
              <w:spacing w:after="0"/>
              <w:rPr>
                <w:sz w:val="15"/>
                <w:szCs w:val="15"/>
                <w:color w:val="auto"/>
              </w:rPr>
            </w:pPr>
          </w:p>
        </w:tc>
        <w:tc>
          <w:tcPr>
            <w:tcW w:w="180" w:type="dxa"/>
            <w:vAlign w:val="bottom"/>
            <w:shd w:val="clear" w:color="auto" w:fill="DBDBDB"/>
          </w:tcPr>
          <w:p>
            <w:pPr>
              <w:spacing w:after="0"/>
              <w:rPr>
                <w:sz w:val="15"/>
                <w:szCs w:val="15"/>
                <w:color w:val="auto"/>
              </w:rPr>
            </w:pPr>
          </w:p>
        </w:tc>
        <w:tc>
          <w:tcPr>
            <w:tcW w:w="150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37</w:t>
            </w:r>
          </w:p>
        </w:tc>
        <w:tc>
          <w:tcPr>
            <w:tcW w:w="80" w:type="dxa"/>
            <w:vAlign w:val="bottom"/>
            <w:shd w:val="clear" w:color="auto" w:fill="DBDBDB"/>
          </w:tcPr>
          <w:p>
            <w:pPr>
              <w:spacing w:after="0"/>
              <w:rPr>
                <w:sz w:val="15"/>
                <w:szCs w:val="15"/>
                <w:color w:val="auto"/>
              </w:rPr>
            </w:pPr>
          </w:p>
        </w:tc>
        <w:tc>
          <w:tcPr>
            <w:tcW w:w="380" w:type="dxa"/>
            <w:vAlign w:val="bottom"/>
            <w:shd w:val="clear" w:color="auto" w:fill="DBDBDB"/>
          </w:tcPr>
          <w:p>
            <w:pPr>
              <w:spacing w:after="0"/>
              <w:rPr>
                <w:sz w:val="15"/>
                <w:szCs w:val="15"/>
                <w:color w:val="auto"/>
              </w:rPr>
            </w:pPr>
          </w:p>
        </w:tc>
        <w:tc>
          <w:tcPr>
            <w:tcW w:w="130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4280" w:type="dxa"/>
            <w:vAlign w:val="bottom"/>
            <w:shd w:val="clear" w:color="auto" w:fill="DBDBDB"/>
          </w:tcPr>
          <w:p>
            <w:pPr>
              <w:ind w:left="240"/>
              <w:spacing w:after="0"/>
              <w:rPr>
                <w:sz w:val="20"/>
                <w:szCs w:val="20"/>
                <w:color w:val="auto"/>
              </w:rPr>
            </w:pPr>
            <w:r>
              <w:rPr>
                <w:rFonts w:ascii="Arial" w:cs="Arial" w:eastAsia="Arial" w:hAnsi="Arial"/>
                <w:sz w:val="18"/>
                <w:szCs w:val="18"/>
                <w:color w:val="auto"/>
              </w:rPr>
              <w:t>extinguishments of debt</w:t>
            </w:r>
          </w:p>
        </w:tc>
        <w:tc>
          <w:tcPr>
            <w:tcW w:w="140" w:type="dxa"/>
            <w:vAlign w:val="bottom"/>
            <w:shd w:val="clear" w:color="auto" w:fill="DBDBDB"/>
          </w:tcPr>
          <w:p>
            <w:pPr>
              <w:spacing w:after="0"/>
              <w:rPr>
                <w:sz w:val="21"/>
                <w:szCs w:val="21"/>
                <w:color w:val="auto"/>
              </w:rPr>
            </w:pPr>
          </w:p>
        </w:tc>
        <w:tc>
          <w:tcPr>
            <w:tcW w:w="1620" w:type="dxa"/>
            <w:vAlign w:val="bottom"/>
            <w:gridSpan w:val="2"/>
            <w:vMerge w:val="continue"/>
            <w:shd w:val="clear" w:color="auto" w:fill="DBDBDB"/>
          </w:tcPr>
          <w:p>
            <w:pPr>
              <w:spacing w:after="0"/>
              <w:rPr>
                <w:sz w:val="21"/>
                <w:szCs w:val="21"/>
                <w:color w:val="auto"/>
              </w:rPr>
            </w:pPr>
          </w:p>
        </w:tc>
        <w:tc>
          <w:tcPr>
            <w:tcW w:w="520" w:type="dxa"/>
            <w:vAlign w:val="bottom"/>
            <w:shd w:val="clear" w:color="auto" w:fill="DBDBDB"/>
          </w:tcPr>
          <w:p>
            <w:pPr>
              <w:spacing w:after="0"/>
              <w:rPr>
                <w:sz w:val="21"/>
                <w:szCs w:val="21"/>
                <w:color w:val="auto"/>
              </w:rPr>
            </w:pPr>
          </w:p>
        </w:tc>
        <w:tc>
          <w:tcPr>
            <w:tcW w:w="1140" w:type="dxa"/>
            <w:vAlign w:val="bottom"/>
            <w:gridSpan w:val="2"/>
            <w:vMerge w:val="continue"/>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80" w:type="dxa"/>
            <w:vAlign w:val="bottom"/>
            <w:shd w:val="clear" w:color="auto" w:fill="DBDBDB"/>
          </w:tcPr>
          <w:p>
            <w:pPr>
              <w:spacing w:after="0"/>
              <w:rPr>
                <w:sz w:val="21"/>
                <w:szCs w:val="21"/>
                <w:color w:val="auto"/>
              </w:rPr>
            </w:pPr>
          </w:p>
        </w:tc>
        <w:tc>
          <w:tcPr>
            <w:tcW w:w="1500" w:type="dxa"/>
            <w:vAlign w:val="bottom"/>
            <w:vMerge w:val="continue"/>
            <w:shd w:val="clear" w:color="auto" w:fill="DBDBDB"/>
          </w:tcPr>
          <w:p>
            <w:pPr>
              <w:spacing w:after="0"/>
              <w:rPr>
                <w:sz w:val="21"/>
                <w:szCs w:val="21"/>
                <w:color w:val="auto"/>
              </w:rPr>
            </w:pPr>
          </w:p>
        </w:tc>
        <w:tc>
          <w:tcPr>
            <w:tcW w:w="80" w:type="dxa"/>
            <w:vAlign w:val="bottom"/>
            <w:shd w:val="clear" w:color="auto" w:fill="DBDBDB"/>
          </w:tcPr>
          <w:p>
            <w:pPr>
              <w:spacing w:after="0"/>
              <w:rPr>
                <w:sz w:val="21"/>
                <w:szCs w:val="21"/>
                <w:color w:val="auto"/>
              </w:rPr>
            </w:pPr>
          </w:p>
        </w:tc>
        <w:tc>
          <w:tcPr>
            <w:tcW w:w="380" w:type="dxa"/>
            <w:vAlign w:val="bottom"/>
            <w:shd w:val="clear" w:color="auto" w:fill="DBDBDB"/>
          </w:tcPr>
          <w:p>
            <w:pPr>
              <w:spacing w:after="0"/>
              <w:rPr>
                <w:sz w:val="21"/>
                <w:szCs w:val="21"/>
                <w:color w:val="auto"/>
              </w:rPr>
            </w:pPr>
          </w:p>
        </w:tc>
        <w:tc>
          <w:tcPr>
            <w:tcW w:w="1300" w:type="dxa"/>
            <w:vAlign w:val="bottom"/>
            <w:vMerge w:val="continue"/>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280" w:type="dxa"/>
            <w:vAlign w:val="bottom"/>
            <w:tcBorders>
              <w:bottom w:val="single" w:sz="8" w:color="DBDBDB"/>
            </w:tcBorders>
          </w:tcPr>
          <w:p>
            <w:pPr>
              <w:ind w:left="240"/>
              <w:spacing w:after="0"/>
              <w:rPr>
                <w:sz w:val="20"/>
                <w:szCs w:val="20"/>
                <w:color w:val="auto"/>
              </w:rPr>
            </w:pPr>
            <w:r>
              <w:rPr>
                <w:rFonts w:ascii="Arial" w:cs="Arial" w:eastAsia="Arial" w:hAnsi="Arial"/>
                <w:sz w:val="18"/>
                <w:szCs w:val="18"/>
                <w:color w:val="auto"/>
              </w:rPr>
              <w:t>Other income, net</w:t>
            </w:r>
          </w:p>
        </w:tc>
        <w:tc>
          <w:tcPr>
            <w:tcW w:w="1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DBDBDB"/>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80" w:type="dxa"/>
            <w:vAlign w:val="bottom"/>
            <w:tcBorders>
              <w:bottom w:val="single" w:sz="8" w:color="DBDBDB"/>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3"/>
        </w:trPr>
        <w:tc>
          <w:tcPr>
            <w:tcW w:w="4280" w:type="dxa"/>
            <w:vAlign w:val="bottom"/>
            <w:shd w:val="clear" w:color="auto" w:fill="DBDBDB"/>
          </w:tcPr>
          <w:p>
            <w:pPr>
              <w:ind w:left="460"/>
              <w:spacing w:after="0"/>
              <w:rPr>
                <w:sz w:val="20"/>
                <w:szCs w:val="20"/>
                <w:color w:val="auto"/>
              </w:rPr>
            </w:pPr>
            <w:r>
              <w:rPr>
                <w:rFonts w:ascii="Arial" w:cs="Arial" w:eastAsia="Arial" w:hAnsi="Arial"/>
                <w:sz w:val="18"/>
                <w:szCs w:val="18"/>
                <w:color w:val="auto"/>
              </w:rPr>
              <w:t>Total other income (expense)</w:t>
            </w:r>
          </w:p>
        </w:tc>
        <w:tc>
          <w:tcPr>
            <w:tcW w:w="140" w:type="dxa"/>
            <w:vAlign w:val="bottom"/>
            <w:tcBorders>
              <w:bottom w:val="single" w:sz="8" w:color="auto"/>
            </w:tcBorders>
            <w:shd w:val="clear" w:color="auto" w:fill="DBDBDB"/>
          </w:tcPr>
          <w:p>
            <w:pPr>
              <w:spacing w:after="0"/>
              <w:rPr>
                <w:sz w:val="19"/>
                <w:szCs w:val="19"/>
                <w:color w:val="auto"/>
              </w:rPr>
            </w:pPr>
          </w:p>
        </w:tc>
        <w:tc>
          <w:tcPr>
            <w:tcW w:w="15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DBDBDB"/>
          </w:tcPr>
          <w:p>
            <w:pPr>
              <w:spacing w:after="0"/>
              <w:rPr>
                <w:sz w:val="19"/>
                <w:szCs w:val="19"/>
                <w:color w:val="auto"/>
              </w:rPr>
            </w:pPr>
          </w:p>
        </w:tc>
        <w:tc>
          <w:tcPr>
            <w:tcW w:w="520" w:type="dxa"/>
            <w:vAlign w:val="bottom"/>
            <w:tcBorders>
              <w:bottom w:val="single" w:sz="8" w:color="auto"/>
            </w:tcBorders>
            <w:shd w:val="clear" w:color="auto" w:fill="DBDBDB"/>
          </w:tcPr>
          <w:p>
            <w:pPr>
              <w:spacing w:after="0"/>
              <w:rPr>
                <w:sz w:val="19"/>
                <w:szCs w:val="19"/>
                <w:color w:val="auto"/>
              </w:rPr>
            </w:pPr>
          </w:p>
        </w:tc>
        <w:tc>
          <w:tcPr>
            <w:tcW w:w="1140" w:type="dxa"/>
            <w:vAlign w:val="bottom"/>
            <w:tcBorders>
              <w:bottom w:val="single" w:sz="8" w:color="auto"/>
            </w:tcBorders>
            <w:gridSpan w:val="2"/>
            <w:shd w:val="clear" w:color="auto" w:fill="DBDBDB"/>
          </w:tcPr>
          <w:p>
            <w:pPr>
              <w:jc w:val="right"/>
              <w:ind w:right="20"/>
              <w:spacing w:after="0"/>
              <w:rPr>
                <w:sz w:val="20"/>
                <w:szCs w:val="20"/>
                <w:color w:val="auto"/>
              </w:rPr>
            </w:pPr>
            <w:r>
              <w:rPr>
                <w:rFonts w:ascii="Arial" w:cs="Arial" w:eastAsia="Arial" w:hAnsi="Arial"/>
                <w:sz w:val="18"/>
                <w:szCs w:val="18"/>
                <w:color w:val="auto"/>
              </w:rPr>
              <w:t>(39)</w:t>
            </w:r>
          </w:p>
        </w:tc>
        <w:tc>
          <w:tcPr>
            <w:tcW w:w="10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15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(63)</w:t>
            </w:r>
          </w:p>
        </w:tc>
        <w:tc>
          <w:tcPr>
            <w:tcW w:w="80" w:type="dxa"/>
            <w:vAlign w:val="bottom"/>
            <w:shd w:val="clear" w:color="auto" w:fill="DBDBDB"/>
          </w:tcPr>
          <w:p>
            <w:pPr>
              <w:spacing w:after="0"/>
              <w:rPr>
                <w:sz w:val="19"/>
                <w:szCs w:val="19"/>
                <w:color w:val="auto"/>
              </w:rPr>
            </w:pPr>
          </w:p>
        </w:tc>
        <w:tc>
          <w:tcPr>
            <w:tcW w:w="380" w:type="dxa"/>
            <w:vAlign w:val="bottom"/>
            <w:tcBorders>
              <w:bottom w:val="single" w:sz="8" w:color="auto"/>
            </w:tcBorders>
            <w:shd w:val="clear" w:color="auto" w:fill="DBDBDB"/>
          </w:tcPr>
          <w:p>
            <w:pPr>
              <w:spacing w:after="0"/>
              <w:rPr>
                <w:sz w:val="19"/>
                <w:szCs w:val="19"/>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23"/>
        </w:trPr>
        <w:tc>
          <w:tcPr>
            <w:tcW w:w="4280" w:type="dxa"/>
            <w:vAlign w:val="bottom"/>
            <w:tcBorders>
              <w:bottom w:val="single" w:sz="8" w:color="DBDBDB"/>
            </w:tcBorders>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1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w:t>
            </w:r>
          </w:p>
        </w:tc>
        <w:tc>
          <w:tcPr>
            <w:tcW w:w="100" w:type="dxa"/>
            <w:vAlign w:val="bottom"/>
            <w:tcBorders>
              <w:bottom w:val="single" w:sz="8" w:color="DBDBDB"/>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686</w:t>
            </w:r>
          </w:p>
        </w:tc>
        <w:tc>
          <w:tcPr>
            <w:tcW w:w="10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2,769</w:t>
            </w:r>
          </w:p>
        </w:tc>
        <w:tc>
          <w:tcPr>
            <w:tcW w:w="80" w:type="dxa"/>
            <w:vAlign w:val="bottom"/>
            <w:tcBorders>
              <w:bottom w:val="single" w:sz="8" w:color="DBDBDB"/>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1,595</w:t>
            </w:r>
          </w:p>
        </w:tc>
        <w:tc>
          <w:tcPr>
            <w:tcW w:w="0" w:type="dxa"/>
            <w:vAlign w:val="bottom"/>
          </w:tcPr>
          <w:p>
            <w:pPr>
              <w:spacing w:after="0"/>
              <w:rPr>
                <w:sz w:val="1"/>
                <w:szCs w:val="1"/>
                <w:color w:val="auto"/>
              </w:rPr>
            </w:pPr>
          </w:p>
        </w:tc>
      </w:tr>
      <w:tr>
        <w:trPr>
          <w:trHeight w:val="223"/>
        </w:trPr>
        <w:tc>
          <w:tcPr>
            <w:tcW w:w="4280" w:type="dxa"/>
            <w:vAlign w:val="bottom"/>
            <w:shd w:val="clear" w:color="auto" w:fill="DBDBDB"/>
          </w:tcPr>
          <w:p>
            <w:pPr>
              <w:ind w:left="240"/>
              <w:spacing w:after="0"/>
              <w:rPr>
                <w:sz w:val="20"/>
                <w:szCs w:val="20"/>
                <w:color w:val="auto"/>
              </w:rPr>
            </w:pPr>
            <w:r>
              <w:rPr>
                <w:rFonts w:ascii="Arial" w:cs="Arial" w:eastAsia="Arial" w:hAnsi="Arial"/>
                <w:sz w:val="18"/>
                <w:szCs w:val="18"/>
                <w:color w:val="auto"/>
              </w:rPr>
              <w:t>Income tax expense</w:t>
            </w:r>
          </w:p>
        </w:tc>
        <w:tc>
          <w:tcPr>
            <w:tcW w:w="140" w:type="dxa"/>
            <w:vAlign w:val="bottom"/>
            <w:tcBorders>
              <w:bottom w:val="single" w:sz="8" w:color="auto"/>
            </w:tcBorders>
            <w:shd w:val="clear" w:color="auto" w:fill="DBDBDB"/>
          </w:tcPr>
          <w:p>
            <w:pPr>
              <w:spacing w:after="0"/>
              <w:rPr>
                <w:sz w:val="19"/>
                <w:szCs w:val="19"/>
                <w:color w:val="auto"/>
              </w:rPr>
            </w:pPr>
          </w:p>
        </w:tc>
        <w:tc>
          <w:tcPr>
            <w:tcW w:w="15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DBDBDB"/>
          </w:tcPr>
          <w:p>
            <w:pPr>
              <w:spacing w:after="0"/>
              <w:rPr>
                <w:sz w:val="19"/>
                <w:szCs w:val="19"/>
                <w:color w:val="auto"/>
              </w:rPr>
            </w:pPr>
          </w:p>
        </w:tc>
        <w:tc>
          <w:tcPr>
            <w:tcW w:w="520" w:type="dxa"/>
            <w:vAlign w:val="bottom"/>
            <w:tcBorders>
              <w:bottom w:val="single" w:sz="8" w:color="auto"/>
            </w:tcBorders>
            <w:shd w:val="clear" w:color="auto" w:fill="DBDBDB"/>
          </w:tcPr>
          <w:p>
            <w:pPr>
              <w:spacing w:after="0"/>
              <w:rPr>
                <w:sz w:val="19"/>
                <w:szCs w:val="19"/>
                <w:color w:val="auto"/>
              </w:rPr>
            </w:pPr>
          </w:p>
        </w:tc>
        <w:tc>
          <w:tcPr>
            <w:tcW w:w="1140" w:type="dxa"/>
            <w:vAlign w:val="bottom"/>
            <w:tcBorders>
              <w:bottom w:val="single" w:sz="8" w:color="auto"/>
            </w:tcBorders>
            <w:gridSpan w:val="2"/>
            <w:shd w:val="clear" w:color="auto" w:fill="DBDBDB"/>
          </w:tcPr>
          <w:p>
            <w:pPr>
              <w:jc w:val="right"/>
              <w:ind w:right="80"/>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15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569</w:t>
            </w:r>
          </w:p>
        </w:tc>
        <w:tc>
          <w:tcPr>
            <w:tcW w:w="80" w:type="dxa"/>
            <w:vAlign w:val="bottom"/>
            <w:shd w:val="clear" w:color="auto" w:fill="DBDBDB"/>
          </w:tcPr>
          <w:p>
            <w:pPr>
              <w:spacing w:after="0"/>
              <w:rPr>
                <w:sz w:val="19"/>
                <w:szCs w:val="19"/>
                <w:color w:val="auto"/>
              </w:rPr>
            </w:pPr>
          </w:p>
        </w:tc>
        <w:tc>
          <w:tcPr>
            <w:tcW w:w="380" w:type="dxa"/>
            <w:vAlign w:val="bottom"/>
            <w:tcBorders>
              <w:bottom w:val="single" w:sz="8" w:color="auto"/>
            </w:tcBorders>
            <w:shd w:val="clear" w:color="auto" w:fill="DBDBDB"/>
          </w:tcPr>
          <w:p>
            <w:pPr>
              <w:spacing w:after="0"/>
              <w:rPr>
                <w:sz w:val="19"/>
                <w:szCs w:val="19"/>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196"/>
        </w:trPr>
        <w:tc>
          <w:tcPr>
            <w:tcW w:w="428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Net income</w:t>
            </w: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519</w:t>
            </w:r>
          </w:p>
        </w:tc>
        <w:tc>
          <w:tcPr>
            <w:tcW w:w="100" w:type="dxa"/>
            <w:vAlign w:val="bottom"/>
          </w:tcPr>
          <w:p>
            <w:pPr>
              <w:spacing w:after="0"/>
              <w:rPr>
                <w:sz w:val="17"/>
                <w:szCs w:val="17"/>
                <w:color w:val="auto"/>
              </w:rPr>
            </w:pPr>
          </w:p>
        </w:tc>
        <w:tc>
          <w:tcPr>
            <w:tcW w:w="52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gridSpan w:val="2"/>
          </w:tcPr>
          <w:p>
            <w:pPr>
              <w:jc w:val="right"/>
              <w:ind w:right="80"/>
              <w:spacing w:after="0" w:line="196" w:lineRule="exact"/>
              <w:rPr>
                <w:sz w:val="20"/>
                <w:szCs w:val="20"/>
                <w:color w:val="auto"/>
              </w:rPr>
            </w:pPr>
            <w:r>
              <w:rPr>
                <w:rFonts w:ascii="Arial" w:cs="Arial" w:eastAsia="Arial" w:hAnsi="Arial"/>
                <w:sz w:val="18"/>
                <w:szCs w:val="18"/>
                <w:color w:val="auto"/>
              </w:rPr>
              <w:t>547</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2,200</w:t>
            </w:r>
          </w:p>
        </w:tc>
        <w:tc>
          <w:tcPr>
            <w:tcW w:w="80" w:type="dxa"/>
            <w:vAlign w:val="bottom"/>
          </w:tcPr>
          <w:p>
            <w:pPr>
              <w:spacing w:after="0"/>
              <w:rPr>
                <w:sz w:val="17"/>
                <w:szCs w:val="17"/>
                <w:color w:val="auto"/>
              </w:rPr>
            </w:pPr>
          </w:p>
        </w:tc>
        <w:tc>
          <w:tcPr>
            <w:tcW w:w="38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1,266</w:t>
            </w:r>
          </w:p>
        </w:tc>
        <w:tc>
          <w:tcPr>
            <w:tcW w:w="0" w:type="dxa"/>
            <w:vAlign w:val="bottom"/>
          </w:tcPr>
          <w:p>
            <w:pPr>
              <w:spacing w:after="0"/>
              <w:rPr>
                <w:sz w:val="1"/>
                <w:szCs w:val="1"/>
                <w:color w:val="auto"/>
              </w:rPr>
            </w:pPr>
          </w:p>
        </w:tc>
      </w:tr>
      <w:tr>
        <w:trPr>
          <w:trHeight w:val="20"/>
        </w:trPr>
        <w:tc>
          <w:tcPr>
            <w:tcW w:w="4280" w:type="dxa"/>
            <w:vAlign w:val="bottom"/>
            <w:tcBorders>
              <w:bottom w:val="single" w:sz="8" w:color="DBDBDB"/>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80" w:type="dxa"/>
            <w:vAlign w:val="bottom"/>
            <w:shd w:val="clear" w:color="auto" w:fill="DBDBDB"/>
          </w:tcPr>
          <w:p>
            <w:pPr>
              <w:ind w:left="20"/>
              <w:spacing w:after="0" w:line="196" w:lineRule="exact"/>
              <w:rPr>
                <w:sz w:val="20"/>
                <w:szCs w:val="20"/>
                <w:color w:val="auto"/>
              </w:rPr>
            </w:pPr>
            <w:r>
              <w:rPr>
                <w:rFonts w:ascii="Arial" w:cs="Arial" w:eastAsia="Arial" w:hAnsi="Arial"/>
                <w:sz w:val="18"/>
                <w:szCs w:val="18"/>
                <w:b w:val="1"/>
                <w:bCs w:val="1"/>
                <w:color w:val="auto"/>
              </w:rPr>
              <w:t>Earnings per common share:</w:t>
            </w:r>
          </w:p>
        </w:tc>
        <w:tc>
          <w:tcPr>
            <w:tcW w:w="140" w:type="dxa"/>
            <w:vAlign w:val="bottom"/>
            <w:shd w:val="clear" w:color="auto" w:fill="DBDBDB"/>
          </w:tcPr>
          <w:p>
            <w:pPr>
              <w:spacing w:after="0"/>
              <w:rPr>
                <w:sz w:val="17"/>
                <w:szCs w:val="17"/>
                <w:color w:val="auto"/>
              </w:rPr>
            </w:pPr>
          </w:p>
        </w:tc>
        <w:tc>
          <w:tcPr>
            <w:tcW w:w="152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52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10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150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380" w:type="dxa"/>
            <w:vAlign w:val="bottom"/>
            <w:shd w:val="clear" w:color="auto" w:fill="DBDBDB"/>
          </w:tcPr>
          <w:p>
            <w:pPr>
              <w:spacing w:after="0"/>
              <w:rPr>
                <w:sz w:val="17"/>
                <w:szCs w:val="17"/>
                <w:color w:val="auto"/>
              </w:rPr>
            </w:pPr>
          </w:p>
        </w:tc>
        <w:tc>
          <w:tcPr>
            <w:tcW w:w="130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280" w:type="dxa"/>
            <w:vAlign w:val="bottom"/>
          </w:tcPr>
          <w:p>
            <w:pPr>
              <w:ind w:left="240"/>
              <w:spacing w:after="0"/>
              <w:rPr>
                <w:sz w:val="20"/>
                <w:szCs w:val="20"/>
                <w:color w:val="auto"/>
              </w:rPr>
            </w:pPr>
            <w:r>
              <w:rPr>
                <w:rFonts w:ascii="Arial" w:cs="Arial" w:eastAsia="Arial" w:hAnsi="Arial"/>
                <w:sz w:val="18"/>
                <w:szCs w:val="18"/>
                <w:color w:val="auto"/>
              </w:rPr>
              <w:t>Basic</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9.30</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30"/>
        </w:trPr>
        <w:tc>
          <w:tcPr>
            <w:tcW w:w="4280" w:type="dxa"/>
            <w:vAlign w:val="bottom"/>
            <w:shd w:val="clear" w:color="auto" w:fill="DBDBDB"/>
          </w:tcPr>
          <w:p>
            <w:pPr>
              <w:ind w:left="240"/>
              <w:spacing w:after="0"/>
              <w:rPr>
                <w:sz w:val="20"/>
                <w:szCs w:val="20"/>
                <w:color w:val="auto"/>
              </w:rPr>
            </w:pPr>
            <w:r>
              <w:rPr>
                <w:rFonts w:ascii="Arial" w:cs="Arial" w:eastAsia="Arial" w:hAnsi="Arial"/>
                <w:sz w:val="18"/>
                <w:szCs w:val="18"/>
                <w:color w:val="auto"/>
              </w:rPr>
              <w:t>Diluted</w:t>
            </w:r>
          </w:p>
        </w:tc>
        <w:tc>
          <w:tcPr>
            <w:tcW w:w="14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2.24</w:t>
            </w:r>
          </w:p>
        </w:tc>
        <w:tc>
          <w:tcPr>
            <w:tcW w:w="100" w:type="dxa"/>
            <w:vAlign w:val="bottom"/>
            <w:shd w:val="clear" w:color="auto" w:fill="DBDBDB"/>
          </w:tcPr>
          <w:p>
            <w:pPr>
              <w:spacing w:after="0"/>
              <w:rPr>
                <w:sz w:val="19"/>
                <w:szCs w:val="19"/>
                <w:color w:val="auto"/>
              </w:rPr>
            </w:pPr>
          </w:p>
        </w:tc>
        <w:tc>
          <w:tcPr>
            <w:tcW w:w="520" w:type="dxa"/>
            <w:vAlign w:val="bottom"/>
            <w:shd w:val="clear" w:color="auto" w:fill="DBDBDB"/>
          </w:tcPr>
          <w:p>
            <w:pPr>
              <w:jc w:val="right"/>
              <w:ind w:right="31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DBDBDB"/>
          </w:tcPr>
          <w:p>
            <w:pPr>
              <w:jc w:val="right"/>
              <w:ind w:right="80"/>
              <w:spacing w:after="0"/>
              <w:rPr>
                <w:sz w:val="20"/>
                <w:szCs w:val="20"/>
                <w:color w:val="auto"/>
              </w:rPr>
            </w:pPr>
            <w:r>
              <w:rPr>
                <w:rFonts w:ascii="Arial" w:cs="Arial" w:eastAsia="Arial" w:hAnsi="Arial"/>
                <w:sz w:val="18"/>
                <w:szCs w:val="18"/>
                <w:color w:val="auto"/>
              </w:rPr>
              <w:t>2.28</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9.29</w:t>
            </w:r>
          </w:p>
        </w:tc>
        <w:tc>
          <w:tcPr>
            <w:tcW w:w="80" w:type="dxa"/>
            <w:vAlign w:val="bottom"/>
            <w:shd w:val="clear" w:color="auto" w:fill="DBDBDB"/>
          </w:tcPr>
          <w:p>
            <w:pPr>
              <w:spacing w:after="0"/>
              <w:rPr>
                <w:sz w:val="19"/>
                <w:szCs w:val="19"/>
                <w:color w:val="auto"/>
              </w:rPr>
            </w:pP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175"/>
        </w:trPr>
        <w:tc>
          <w:tcPr>
            <w:tcW w:w="428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Weighted average common shares outstanding</w:t>
            </w:r>
          </w:p>
        </w:tc>
        <w:tc>
          <w:tcPr>
            <w:tcW w:w="1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b w:val="1"/>
                <w:bCs w:val="1"/>
                <w:color w:val="auto"/>
              </w:rPr>
              <w:t>(in thousands):</w:t>
            </w:r>
          </w:p>
        </w:tc>
        <w:tc>
          <w:tcPr>
            <w:tcW w:w="1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DBDBDB"/>
          </w:tcPr>
          <w:p>
            <w:pPr>
              <w:ind w:left="240"/>
              <w:spacing w:after="0"/>
              <w:rPr>
                <w:sz w:val="20"/>
                <w:szCs w:val="20"/>
                <w:color w:val="auto"/>
              </w:rPr>
            </w:pPr>
            <w:r>
              <w:rPr>
                <w:rFonts w:ascii="Arial" w:cs="Arial" w:eastAsia="Arial" w:hAnsi="Arial"/>
                <w:sz w:val="18"/>
                <w:szCs w:val="18"/>
                <w:color w:val="auto"/>
              </w:rPr>
              <w:t>Basic</w:t>
            </w:r>
          </w:p>
        </w:tc>
        <w:tc>
          <w:tcPr>
            <w:tcW w:w="140" w:type="dxa"/>
            <w:vAlign w:val="bottom"/>
            <w:shd w:val="clear" w:color="auto" w:fill="DBDBDB"/>
          </w:tcPr>
          <w:p>
            <w:pPr>
              <w:spacing w:after="0"/>
              <w:rPr>
                <w:sz w:val="19"/>
                <w:szCs w:val="19"/>
                <w:color w:val="auto"/>
              </w:rPr>
            </w:pPr>
          </w:p>
        </w:tc>
        <w:tc>
          <w:tcPr>
            <w:tcW w:w="15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231,555</w:t>
            </w:r>
          </w:p>
        </w:tc>
        <w:tc>
          <w:tcPr>
            <w:tcW w:w="100" w:type="dxa"/>
            <w:vAlign w:val="bottom"/>
            <w:shd w:val="clear" w:color="auto" w:fill="DBDBDB"/>
          </w:tcPr>
          <w:p>
            <w:pPr>
              <w:spacing w:after="0"/>
              <w:rPr>
                <w:sz w:val="19"/>
                <w:szCs w:val="19"/>
                <w:color w:val="auto"/>
              </w:rPr>
            </w:pPr>
          </w:p>
        </w:tc>
        <w:tc>
          <w:tcPr>
            <w:tcW w:w="520" w:type="dxa"/>
            <w:vAlign w:val="bottom"/>
            <w:shd w:val="clear" w:color="auto" w:fill="DBDBDB"/>
          </w:tcPr>
          <w:p>
            <w:pPr>
              <w:spacing w:after="0"/>
              <w:rPr>
                <w:sz w:val="19"/>
                <w:szCs w:val="19"/>
                <w:color w:val="auto"/>
              </w:rPr>
            </w:pPr>
          </w:p>
        </w:tc>
        <w:tc>
          <w:tcPr>
            <w:tcW w:w="1140" w:type="dxa"/>
            <w:vAlign w:val="bottom"/>
            <w:gridSpan w:val="2"/>
            <w:shd w:val="clear" w:color="auto" w:fill="DBDBDB"/>
          </w:tcPr>
          <w:p>
            <w:pPr>
              <w:jc w:val="right"/>
              <w:ind w:right="80"/>
              <w:spacing w:after="0"/>
              <w:rPr>
                <w:sz w:val="20"/>
                <w:szCs w:val="20"/>
                <w:color w:val="auto"/>
              </w:rPr>
            </w:pPr>
            <w:r>
              <w:rPr>
                <w:rFonts w:ascii="Arial" w:cs="Arial" w:eastAsia="Arial" w:hAnsi="Arial"/>
                <w:sz w:val="18"/>
                <w:szCs w:val="18"/>
                <w:color w:val="auto"/>
              </w:rPr>
              <w:t>238,221</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236,529</w:t>
            </w:r>
          </w:p>
        </w:tc>
        <w:tc>
          <w:tcPr>
            <w:tcW w:w="8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236,890</w:t>
            </w:r>
          </w:p>
        </w:tc>
        <w:tc>
          <w:tcPr>
            <w:tcW w:w="0" w:type="dxa"/>
            <w:vAlign w:val="bottom"/>
          </w:tcPr>
          <w:p>
            <w:pPr>
              <w:spacing w:after="0"/>
              <w:rPr>
                <w:sz w:val="1"/>
                <w:szCs w:val="1"/>
                <w:color w:val="auto"/>
              </w:rPr>
            </w:pPr>
          </w:p>
        </w:tc>
      </w:tr>
      <w:tr>
        <w:trPr>
          <w:trHeight w:val="239"/>
        </w:trPr>
        <w:tc>
          <w:tcPr>
            <w:tcW w:w="4280" w:type="dxa"/>
            <w:vAlign w:val="bottom"/>
          </w:tcPr>
          <w:p>
            <w:pPr>
              <w:ind w:left="240"/>
              <w:spacing w:after="0"/>
              <w:rPr>
                <w:sz w:val="20"/>
                <w:szCs w:val="20"/>
                <w:color w:val="auto"/>
              </w:rPr>
            </w:pPr>
            <w:r>
              <w:rPr>
                <w:rFonts w:ascii="Arial" w:cs="Arial" w:eastAsia="Arial" w:hAnsi="Arial"/>
                <w:sz w:val="18"/>
                <w:szCs w:val="18"/>
                <w:color w:val="auto"/>
              </w:rPr>
              <w:t>Diluted</w:t>
            </w:r>
          </w:p>
        </w:tc>
        <w:tc>
          <w:tcPr>
            <w:tcW w:w="1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231,731</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239,893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236,909</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240,373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440" w:right="339" w:bottom="1440" w:gutter="0" w:footer="0" w:header="0"/>
        </w:sectPr>
      </w:pPr>
    </w:p>
    <w:bookmarkStart w:id="9" w:name="page10"/>
    <w:bookmarkEnd w:id="9"/>
    <w:p>
      <w:pPr>
        <w:spacing w:after="0" w:line="11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386C"/>
        </w:rPr>
        <w:t>CONDENSED CONSOLIDATED STATEMENTS OF CASH FLOWS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42773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0" w:type="dxa"/>
            <w:vAlign w:val="bottom"/>
            <w:gridSpan w:val="5"/>
          </w:tcPr>
          <w:p>
            <w:pPr>
              <w:ind w:left="60"/>
              <w:spacing w:after="0"/>
              <w:rPr>
                <w:sz w:val="20"/>
                <w:szCs w:val="20"/>
                <w:color w:val="auto"/>
              </w:rPr>
            </w:pPr>
            <w:r>
              <w:rPr>
                <w:rFonts w:ascii="Arial" w:cs="Arial" w:eastAsia="Arial" w:hAnsi="Arial"/>
                <w:sz w:val="15"/>
                <w:szCs w:val="15"/>
                <w:b w:val="1"/>
                <w:bCs w:val="1"/>
                <w:color w:val="auto"/>
              </w:rPr>
              <w:t>Three Months Ended September 30,</w:t>
            </w:r>
          </w:p>
        </w:tc>
        <w:tc>
          <w:tcPr>
            <w:tcW w:w="220" w:type="dxa"/>
            <w:vAlign w:val="bottom"/>
          </w:tcPr>
          <w:p>
            <w:pPr>
              <w:spacing w:after="0"/>
              <w:rPr>
                <w:sz w:val="18"/>
                <w:szCs w:val="18"/>
                <w:color w:val="auto"/>
              </w:rPr>
            </w:pPr>
          </w:p>
        </w:tc>
        <w:tc>
          <w:tcPr>
            <w:tcW w:w="2920" w:type="dxa"/>
            <w:vAlign w:val="bottom"/>
            <w:gridSpan w:val="4"/>
          </w:tcPr>
          <w:p>
            <w:pPr>
              <w:jc w:val="right"/>
              <w:ind w:right="224"/>
              <w:spacing w:after="0"/>
              <w:rPr>
                <w:sz w:val="20"/>
                <w:szCs w:val="20"/>
                <w:color w:val="auto"/>
              </w:rPr>
            </w:pPr>
            <w:r>
              <w:rPr>
                <w:rFonts w:ascii="Arial" w:cs="Arial" w:eastAsia="Arial" w:hAnsi="Arial"/>
                <w:sz w:val="15"/>
                <w:szCs w:val="15"/>
                <w:b w:val="1"/>
                <w:bCs w:val="1"/>
                <w:color w:val="auto"/>
              </w:rPr>
              <w:t>Nine Months Ended September 30,</w:t>
            </w:r>
          </w:p>
        </w:tc>
      </w:tr>
      <w:tr>
        <w:trPr>
          <w:trHeight w:val="196"/>
        </w:trPr>
        <w:tc>
          <w:tcPr>
            <w:tcW w:w="4920" w:type="dxa"/>
            <w:vAlign w:val="bottom"/>
            <w:tcBorders>
              <w:bottom w:val="single" w:sz="8" w:color="DBDBDB"/>
            </w:tcBorders>
          </w:tcPr>
          <w:p>
            <w:pPr>
              <w:ind w:left="20"/>
              <w:spacing w:after="0"/>
              <w:rPr>
                <w:sz w:val="20"/>
                <w:szCs w:val="20"/>
                <w:color w:val="auto"/>
              </w:rPr>
            </w:pPr>
            <w:r>
              <w:rPr>
                <w:rFonts w:ascii="Arial" w:cs="Arial" w:eastAsia="Arial" w:hAnsi="Arial"/>
                <w:sz w:val="15"/>
                <w:szCs w:val="15"/>
                <w:i w:val="1"/>
                <w:iCs w:val="1"/>
                <w:color w:val="auto"/>
              </w:rPr>
              <w:t>($ in millions)</w:t>
            </w:r>
          </w:p>
        </w:tc>
        <w:tc>
          <w:tcPr>
            <w:tcW w:w="18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504"/>
              <w:spacing w:after="0"/>
              <w:rPr>
                <w:sz w:val="20"/>
                <w:szCs w:val="20"/>
                <w:color w:val="auto"/>
              </w:rPr>
            </w:pPr>
            <w:r>
              <w:rPr>
                <w:rFonts w:ascii="Arial" w:cs="Arial" w:eastAsia="Arial" w:hAnsi="Arial"/>
                <w:sz w:val="15"/>
                <w:szCs w:val="15"/>
                <w:b w:val="1"/>
                <w:bCs w:val="1"/>
                <w:color w:val="auto"/>
              </w:rPr>
              <w:t>2026</w:t>
            </w:r>
          </w:p>
        </w:tc>
        <w:tc>
          <w:tcPr>
            <w:tcW w:w="100" w:type="dxa"/>
            <w:vAlign w:val="bottom"/>
            <w:tcBorders>
              <w:top w:val="single" w:sz="8" w:color="auto"/>
              <w:bottom w:val="single" w:sz="8" w:color="DBDBDB"/>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04"/>
              <w:spacing w:after="0"/>
              <w:rPr>
                <w:sz w:val="20"/>
                <w:szCs w:val="20"/>
                <w:color w:val="auto"/>
              </w:rPr>
            </w:pPr>
            <w:r>
              <w:rPr>
                <w:rFonts w:ascii="Arial" w:cs="Arial" w:eastAsia="Arial" w:hAnsi="Arial"/>
                <w:sz w:val="15"/>
                <w:szCs w:val="15"/>
                <w:b w:val="1"/>
                <w:bCs w:val="1"/>
                <w:color w:val="auto"/>
              </w:rPr>
              <w:t>2025</w:t>
            </w:r>
          </w:p>
        </w:tc>
        <w:tc>
          <w:tcPr>
            <w:tcW w:w="80" w:type="dxa"/>
            <w:vAlign w:val="bottom"/>
            <w:tcBorders>
              <w:bottom w:val="single" w:sz="8" w:color="DBDBDB"/>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504"/>
              <w:spacing w:after="0"/>
              <w:rPr>
                <w:sz w:val="20"/>
                <w:szCs w:val="20"/>
                <w:color w:val="auto"/>
              </w:rPr>
            </w:pPr>
            <w:r>
              <w:rPr>
                <w:rFonts w:ascii="Arial" w:cs="Arial" w:eastAsia="Arial" w:hAnsi="Arial"/>
                <w:sz w:val="15"/>
                <w:szCs w:val="15"/>
                <w:b w:val="1"/>
                <w:bCs w:val="1"/>
                <w:color w:val="auto"/>
              </w:rPr>
              <w:t>2026</w:t>
            </w:r>
          </w:p>
        </w:tc>
        <w:tc>
          <w:tcPr>
            <w:tcW w:w="100" w:type="dxa"/>
            <w:vAlign w:val="bottom"/>
            <w:tcBorders>
              <w:top w:val="single" w:sz="8" w:color="auto"/>
              <w:bottom w:val="single" w:sz="8" w:color="DBDBDB"/>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04"/>
              <w:spacing w:after="0"/>
              <w:rPr>
                <w:sz w:val="20"/>
                <w:szCs w:val="20"/>
                <w:color w:val="auto"/>
              </w:rPr>
            </w:pPr>
            <w:r>
              <w:rPr>
                <w:rFonts w:ascii="Arial" w:cs="Arial" w:eastAsia="Arial" w:hAnsi="Arial"/>
                <w:sz w:val="15"/>
                <w:szCs w:val="15"/>
                <w:b w:val="1"/>
                <w:bCs w:val="1"/>
                <w:color w:val="auto"/>
              </w:rPr>
              <w:t>2025</w:t>
            </w:r>
          </w:p>
        </w:tc>
      </w:tr>
      <w:tr>
        <w:trPr>
          <w:trHeight w:val="183"/>
        </w:trPr>
        <w:tc>
          <w:tcPr>
            <w:tcW w:w="4920" w:type="dxa"/>
            <w:vAlign w:val="bottom"/>
            <w:shd w:val="clear" w:color="auto" w:fill="DBDBDB"/>
          </w:tcPr>
          <w:p>
            <w:pPr>
              <w:ind w:left="20"/>
              <w:spacing w:after="0"/>
              <w:rPr>
                <w:sz w:val="20"/>
                <w:szCs w:val="20"/>
                <w:color w:val="auto"/>
              </w:rPr>
            </w:pPr>
            <w:r>
              <w:rPr>
                <w:rFonts w:ascii="Arial" w:cs="Arial" w:eastAsia="Arial" w:hAnsi="Arial"/>
                <w:sz w:val="15"/>
                <w:szCs w:val="15"/>
                <w:b w:val="1"/>
                <w:bCs w:val="1"/>
                <w:color w:val="auto"/>
              </w:rPr>
              <w:t>Cash flows from operating activities:</w:t>
            </w:r>
          </w:p>
        </w:tc>
        <w:tc>
          <w:tcPr>
            <w:tcW w:w="180" w:type="dxa"/>
            <w:vAlign w:val="bottom"/>
            <w:shd w:val="clear" w:color="auto" w:fill="DBDBDB"/>
          </w:tcPr>
          <w:p>
            <w:pPr>
              <w:spacing w:after="0"/>
              <w:rPr>
                <w:sz w:val="15"/>
                <w:szCs w:val="15"/>
                <w:color w:val="auto"/>
              </w:rPr>
            </w:pPr>
          </w:p>
        </w:tc>
        <w:tc>
          <w:tcPr>
            <w:tcW w:w="132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340" w:type="dxa"/>
            <w:vAlign w:val="bottom"/>
            <w:shd w:val="clear" w:color="auto" w:fill="DBDBDB"/>
          </w:tcPr>
          <w:p>
            <w:pPr>
              <w:spacing w:after="0"/>
              <w:rPr>
                <w:sz w:val="15"/>
                <w:szCs w:val="15"/>
                <w:color w:val="auto"/>
              </w:rPr>
            </w:pPr>
          </w:p>
        </w:tc>
        <w:tc>
          <w:tcPr>
            <w:tcW w:w="116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130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360" w:type="dxa"/>
            <w:vAlign w:val="bottom"/>
            <w:shd w:val="clear" w:color="auto" w:fill="DBDBDB"/>
          </w:tcPr>
          <w:p>
            <w:pPr>
              <w:spacing w:after="0"/>
              <w:rPr>
                <w:sz w:val="15"/>
                <w:szCs w:val="15"/>
                <w:color w:val="auto"/>
              </w:rPr>
            </w:pPr>
          </w:p>
        </w:tc>
        <w:tc>
          <w:tcPr>
            <w:tcW w:w="1160" w:type="dxa"/>
            <w:vAlign w:val="bottom"/>
            <w:shd w:val="clear" w:color="auto" w:fill="DBDBDB"/>
          </w:tcPr>
          <w:p>
            <w:pPr>
              <w:spacing w:after="0"/>
              <w:rPr>
                <w:sz w:val="15"/>
                <w:szCs w:val="15"/>
                <w:color w:val="auto"/>
              </w:rPr>
            </w:pPr>
          </w:p>
        </w:tc>
      </w:tr>
      <w:tr>
        <w:trPr>
          <w:trHeight w:val="201"/>
        </w:trPr>
        <w:tc>
          <w:tcPr>
            <w:tcW w:w="4920" w:type="dxa"/>
            <w:vAlign w:val="bottom"/>
          </w:tcPr>
          <w:p>
            <w:pPr>
              <w:ind w:left="20"/>
              <w:spacing w:after="0"/>
              <w:rPr>
                <w:sz w:val="20"/>
                <w:szCs w:val="20"/>
                <w:color w:val="auto"/>
              </w:rPr>
            </w:pPr>
            <w:r>
              <w:rPr>
                <w:rFonts w:ascii="Arial" w:cs="Arial" w:eastAsia="Arial" w:hAnsi="Arial"/>
                <w:sz w:val="15"/>
                <w:szCs w:val="15"/>
                <w:color w:val="auto"/>
              </w:rPr>
              <w:t>Net income</w:t>
            </w: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1320" w:type="dxa"/>
            <w:vAlign w:val="bottom"/>
          </w:tcPr>
          <w:p>
            <w:pPr>
              <w:jc w:val="right"/>
              <w:spacing w:after="0"/>
              <w:rPr>
                <w:sz w:val="20"/>
                <w:szCs w:val="20"/>
                <w:color w:val="auto"/>
              </w:rPr>
            </w:pPr>
            <w:r>
              <w:rPr>
                <w:rFonts w:ascii="Arial" w:cs="Arial" w:eastAsia="Arial" w:hAnsi="Arial"/>
                <w:sz w:val="15"/>
                <w:szCs w:val="15"/>
                <w:color w:val="auto"/>
              </w:rPr>
              <w:t>519</w:t>
            </w:r>
          </w:p>
        </w:tc>
        <w:tc>
          <w:tcPr>
            <w:tcW w:w="100" w:type="dxa"/>
            <w:vAlign w:val="bottom"/>
          </w:tcPr>
          <w:p>
            <w:pPr>
              <w:spacing w:after="0"/>
              <w:rPr>
                <w:sz w:val="17"/>
                <w:szCs w:val="17"/>
                <w:color w:val="auto"/>
              </w:rPr>
            </w:pPr>
          </w:p>
        </w:tc>
        <w:tc>
          <w:tcPr>
            <w:tcW w:w="340" w:type="dxa"/>
            <w:vAlign w:val="bottom"/>
          </w:tcPr>
          <w:p>
            <w:pPr>
              <w:jc w:val="right"/>
              <w:ind w:right="164"/>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ind w:right="4"/>
              <w:spacing w:after="0"/>
              <w:rPr>
                <w:sz w:val="20"/>
                <w:szCs w:val="20"/>
                <w:color w:val="auto"/>
              </w:rPr>
            </w:pPr>
            <w:r>
              <w:rPr>
                <w:rFonts w:ascii="Arial" w:cs="Arial" w:eastAsia="Arial" w:hAnsi="Arial"/>
                <w:sz w:val="15"/>
                <w:szCs w:val="15"/>
                <w:color w:val="auto"/>
              </w:rPr>
              <w:t>547</w:t>
            </w:r>
          </w:p>
        </w:tc>
        <w:tc>
          <w:tcPr>
            <w:tcW w:w="80" w:type="dxa"/>
            <w:vAlign w:val="bottom"/>
          </w:tcPr>
          <w:p>
            <w:pPr>
              <w:spacing w:after="0"/>
              <w:rPr>
                <w:sz w:val="17"/>
                <w:szCs w:val="17"/>
                <w:color w:val="auto"/>
              </w:rPr>
            </w:pPr>
          </w:p>
        </w:tc>
        <w:tc>
          <w:tcPr>
            <w:tcW w:w="22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2,200</w:t>
            </w:r>
          </w:p>
        </w:tc>
        <w:tc>
          <w:tcPr>
            <w:tcW w:w="100" w:type="dxa"/>
            <w:vAlign w:val="bottom"/>
          </w:tcPr>
          <w:p>
            <w:pPr>
              <w:spacing w:after="0"/>
              <w:rPr>
                <w:sz w:val="17"/>
                <w:szCs w:val="17"/>
                <w:color w:val="auto"/>
              </w:rPr>
            </w:pPr>
          </w:p>
        </w:tc>
        <w:tc>
          <w:tcPr>
            <w:tcW w:w="360" w:type="dxa"/>
            <w:vAlign w:val="bottom"/>
          </w:tcPr>
          <w:p>
            <w:pPr>
              <w:jc w:val="right"/>
              <w:ind w:right="164"/>
              <w:spacing w:after="0"/>
              <w:rPr>
                <w:sz w:val="20"/>
                <w:szCs w:val="20"/>
                <w:color w:val="auto"/>
              </w:rPr>
            </w:pPr>
            <w:r>
              <w:rPr>
                <w:rFonts w:ascii="Arial" w:cs="Arial" w:eastAsia="Arial" w:hAnsi="Arial"/>
                <w:sz w:val="15"/>
                <w:szCs w:val="15"/>
                <w:color w:val="auto"/>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1,266</w:t>
            </w:r>
          </w:p>
        </w:tc>
      </w:tr>
      <w:tr>
        <w:trPr>
          <w:trHeight w:val="150"/>
        </w:trPr>
        <w:tc>
          <w:tcPr>
            <w:tcW w:w="4920" w:type="dxa"/>
            <w:vAlign w:val="bottom"/>
            <w:shd w:val="clear" w:color="auto" w:fill="DBDBDB"/>
          </w:tcPr>
          <w:p>
            <w:pPr>
              <w:ind w:left="20"/>
              <w:spacing w:after="0" w:line="150" w:lineRule="exact"/>
              <w:rPr>
                <w:sz w:val="20"/>
                <w:szCs w:val="20"/>
                <w:color w:val="auto"/>
              </w:rPr>
            </w:pPr>
            <w:r>
              <w:rPr>
                <w:rFonts w:ascii="Arial" w:cs="Arial" w:eastAsia="Arial" w:hAnsi="Arial"/>
                <w:sz w:val="15"/>
                <w:szCs w:val="15"/>
                <w:color w:val="auto"/>
              </w:rPr>
              <w:t>Adjustments to reconcile net income to net cash provided by</w:t>
            </w:r>
          </w:p>
        </w:tc>
        <w:tc>
          <w:tcPr>
            <w:tcW w:w="180" w:type="dxa"/>
            <w:vAlign w:val="bottom"/>
            <w:shd w:val="clear" w:color="auto" w:fill="DBDBDB"/>
          </w:tcPr>
          <w:p>
            <w:pPr>
              <w:spacing w:after="0"/>
              <w:rPr>
                <w:sz w:val="13"/>
                <w:szCs w:val="13"/>
                <w:color w:val="auto"/>
              </w:rPr>
            </w:pPr>
          </w:p>
        </w:tc>
        <w:tc>
          <w:tcPr>
            <w:tcW w:w="132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340" w:type="dxa"/>
            <w:vAlign w:val="bottom"/>
            <w:shd w:val="clear" w:color="auto" w:fill="DBDBDB"/>
          </w:tcPr>
          <w:p>
            <w:pPr>
              <w:spacing w:after="0"/>
              <w:rPr>
                <w:sz w:val="13"/>
                <w:szCs w:val="13"/>
                <w:color w:val="auto"/>
              </w:rPr>
            </w:pPr>
          </w:p>
        </w:tc>
        <w:tc>
          <w:tcPr>
            <w:tcW w:w="116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220" w:type="dxa"/>
            <w:vAlign w:val="bottom"/>
            <w:shd w:val="clear" w:color="auto" w:fill="DBDBDB"/>
          </w:tcPr>
          <w:p>
            <w:pPr>
              <w:spacing w:after="0"/>
              <w:rPr>
                <w:sz w:val="13"/>
                <w:szCs w:val="13"/>
                <w:color w:val="auto"/>
              </w:rPr>
            </w:pPr>
          </w:p>
        </w:tc>
        <w:tc>
          <w:tcPr>
            <w:tcW w:w="130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360" w:type="dxa"/>
            <w:vAlign w:val="bottom"/>
            <w:shd w:val="clear" w:color="auto" w:fill="DBDBDB"/>
          </w:tcPr>
          <w:p>
            <w:pPr>
              <w:spacing w:after="0"/>
              <w:rPr>
                <w:sz w:val="13"/>
                <w:szCs w:val="13"/>
                <w:color w:val="auto"/>
              </w:rPr>
            </w:pPr>
          </w:p>
        </w:tc>
        <w:tc>
          <w:tcPr>
            <w:tcW w:w="1160" w:type="dxa"/>
            <w:vAlign w:val="bottom"/>
            <w:shd w:val="clear" w:color="auto" w:fill="DBDBDB"/>
          </w:tcPr>
          <w:p>
            <w:pPr>
              <w:spacing w:after="0"/>
              <w:rPr>
                <w:sz w:val="13"/>
                <w:szCs w:val="13"/>
                <w:color w:val="auto"/>
              </w:rPr>
            </w:pPr>
          </w:p>
        </w:tc>
      </w:tr>
      <w:tr>
        <w:trPr>
          <w:trHeight w:val="216"/>
        </w:trPr>
        <w:tc>
          <w:tcPr>
            <w:tcW w:w="4920" w:type="dxa"/>
            <w:vAlign w:val="bottom"/>
            <w:shd w:val="clear" w:color="auto" w:fill="DBDBDB"/>
          </w:tcPr>
          <w:p>
            <w:pPr>
              <w:ind w:left="20"/>
              <w:spacing w:after="0"/>
              <w:rPr>
                <w:sz w:val="20"/>
                <w:szCs w:val="20"/>
                <w:color w:val="auto"/>
              </w:rPr>
            </w:pPr>
            <w:r>
              <w:rPr>
                <w:rFonts w:ascii="Arial" w:cs="Arial" w:eastAsia="Arial" w:hAnsi="Arial"/>
                <w:sz w:val="15"/>
                <w:szCs w:val="15"/>
                <w:color w:val="auto"/>
              </w:rPr>
              <w:t>operating activities:</w:t>
            </w:r>
          </w:p>
        </w:tc>
        <w:tc>
          <w:tcPr>
            <w:tcW w:w="180" w:type="dxa"/>
            <w:vAlign w:val="bottom"/>
            <w:shd w:val="clear" w:color="auto" w:fill="DBDBDB"/>
          </w:tcPr>
          <w:p>
            <w:pPr>
              <w:spacing w:after="0"/>
              <w:rPr>
                <w:sz w:val="18"/>
                <w:szCs w:val="18"/>
                <w:color w:val="auto"/>
              </w:rPr>
            </w:pPr>
          </w:p>
        </w:tc>
        <w:tc>
          <w:tcPr>
            <w:tcW w:w="13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116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13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160" w:type="dxa"/>
            <w:vAlign w:val="bottom"/>
            <w:shd w:val="clear" w:color="auto" w:fill="DBDBDB"/>
          </w:tcPr>
          <w:p>
            <w:pPr>
              <w:spacing w:after="0"/>
              <w:rPr>
                <w:sz w:val="18"/>
                <w:szCs w:val="18"/>
                <w:color w:val="auto"/>
              </w:rPr>
            </w:pPr>
          </w:p>
        </w:tc>
      </w:tr>
      <w:tr>
        <w:trPr>
          <w:trHeight w:val="201"/>
        </w:trPr>
        <w:tc>
          <w:tcPr>
            <w:tcW w:w="4920" w:type="dxa"/>
            <w:vAlign w:val="bottom"/>
          </w:tcPr>
          <w:p>
            <w:pPr>
              <w:ind w:left="240"/>
              <w:spacing w:after="0"/>
              <w:rPr>
                <w:sz w:val="20"/>
                <w:szCs w:val="20"/>
                <w:color w:val="auto"/>
              </w:rPr>
            </w:pPr>
            <w:r>
              <w:rPr>
                <w:rFonts w:ascii="Arial" w:cs="Arial" w:eastAsia="Arial" w:hAnsi="Arial"/>
                <w:sz w:val="15"/>
                <w:szCs w:val="15"/>
                <w:color w:val="auto"/>
              </w:rPr>
              <w:t>Depreciation, depletion and amortization</w:t>
            </w: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750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ind w:right="4"/>
              <w:spacing w:after="0"/>
              <w:rPr>
                <w:sz w:val="20"/>
                <w:szCs w:val="20"/>
                <w:color w:val="auto"/>
              </w:rPr>
            </w:pPr>
            <w:r>
              <w:rPr>
                <w:rFonts w:ascii="Arial" w:cs="Arial" w:eastAsia="Arial" w:hAnsi="Arial"/>
                <w:sz w:val="15"/>
                <w:szCs w:val="15"/>
                <w:color w:val="auto"/>
              </w:rPr>
              <w:t>741</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2,183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2,221</w:t>
            </w:r>
          </w:p>
        </w:tc>
      </w:tr>
      <w:tr>
        <w:trPr>
          <w:trHeight w:val="204"/>
        </w:trPr>
        <w:tc>
          <w:tcPr>
            <w:tcW w:w="4920" w:type="dxa"/>
            <w:vAlign w:val="bottom"/>
            <w:shd w:val="clear" w:color="auto" w:fill="DBDBDB"/>
          </w:tcPr>
          <w:p>
            <w:pPr>
              <w:ind w:left="240"/>
              <w:spacing w:after="0"/>
              <w:rPr>
                <w:sz w:val="20"/>
                <w:szCs w:val="20"/>
                <w:color w:val="auto"/>
              </w:rPr>
            </w:pPr>
            <w:r>
              <w:rPr>
                <w:rFonts w:ascii="Arial" w:cs="Arial" w:eastAsia="Arial" w:hAnsi="Arial"/>
                <w:sz w:val="15"/>
                <w:szCs w:val="15"/>
                <w:color w:val="auto"/>
              </w:rPr>
              <w:t>Deferred income tax expense</w:t>
            </w:r>
          </w:p>
        </w:tc>
        <w:tc>
          <w:tcPr>
            <w:tcW w:w="180" w:type="dxa"/>
            <w:vAlign w:val="bottom"/>
            <w:shd w:val="clear" w:color="auto" w:fill="DBDBDB"/>
          </w:tcPr>
          <w:p>
            <w:pPr>
              <w:spacing w:after="0"/>
              <w:rPr>
                <w:sz w:val="17"/>
                <w:szCs w:val="17"/>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85</w:t>
            </w:r>
          </w:p>
        </w:tc>
        <w:tc>
          <w:tcPr>
            <w:tcW w:w="100" w:type="dxa"/>
            <w:vAlign w:val="bottom"/>
            <w:shd w:val="clear" w:color="auto" w:fill="DBDBDB"/>
          </w:tcPr>
          <w:p>
            <w:pPr>
              <w:spacing w:after="0"/>
              <w:rPr>
                <w:sz w:val="17"/>
                <w:szCs w:val="17"/>
                <w:color w:val="auto"/>
              </w:rPr>
            </w:pPr>
          </w:p>
        </w:tc>
        <w:tc>
          <w:tcPr>
            <w:tcW w:w="340" w:type="dxa"/>
            <w:vAlign w:val="bottom"/>
            <w:shd w:val="clear" w:color="auto" w:fill="DBDBDB"/>
          </w:tcPr>
          <w:p>
            <w:pPr>
              <w:spacing w:after="0"/>
              <w:rPr>
                <w:sz w:val="17"/>
                <w:szCs w:val="17"/>
                <w:color w:val="auto"/>
              </w:rPr>
            </w:pPr>
          </w:p>
        </w:tc>
        <w:tc>
          <w:tcPr>
            <w:tcW w:w="1160" w:type="dxa"/>
            <w:vAlign w:val="bottom"/>
            <w:shd w:val="clear" w:color="auto" w:fill="DBDBDB"/>
          </w:tcPr>
          <w:p>
            <w:pPr>
              <w:jc w:val="right"/>
              <w:ind w:right="4"/>
              <w:spacing w:after="0"/>
              <w:rPr>
                <w:sz w:val="20"/>
                <w:szCs w:val="20"/>
                <w:color w:val="auto"/>
              </w:rPr>
            </w:pPr>
            <w:r>
              <w:rPr>
                <w:rFonts w:ascii="Arial" w:cs="Arial" w:eastAsia="Arial" w:hAnsi="Arial"/>
                <w:sz w:val="15"/>
                <w:szCs w:val="15"/>
                <w:color w:val="auto"/>
              </w:rPr>
              <w:t>186</w:t>
            </w:r>
          </w:p>
        </w:tc>
        <w:tc>
          <w:tcPr>
            <w:tcW w:w="8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550</w:t>
            </w:r>
          </w:p>
        </w:tc>
        <w:tc>
          <w:tcPr>
            <w:tcW w:w="100" w:type="dxa"/>
            <w:vAlign w:val="bottom"/>
            <w:shd w:val="clear" w:color="auto" w:fill="DBDBDB"/>
          </w:tcPr>
          <w:p>
            <w:pPr>
              <w:spacing w:after="0"/>
              <w:rPr>
                <w:sz w:val="17"/>
                <w:szCs w:val="17"/>
                <w:color w:val="auto"/>
              </w:rPr>
            </w:pPr>
          </w:p>
        </w:tc>
        <w:tc>
          <w:tcPr>
            <w:tcW w:w="360" w:type="dxa"/>
            <w:vAlign w:val="bottom"/>
            <w:shd w:val="clear" w:color="auto" w:fill="DBDBDB"/>
          </w:tcPr>
          <w:p>
            <w:pPr>
              <w:spacing w:after="0"/>
              <w:rPr>
                <w:sz w:val="17"/>
                <w:szCs w:val="17"/>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320</w:t>
            </w:r>
          </w:p>
        </w:tc>
      </w:tr>
      <w:tr>
        <w:trPr>
          <w:trHeight w:val="201"/>
        </w:trPr>
        <w:tc>
          <w:tcPr>
            <w:tcW w:w="4920" w:type="dxa"/>
            <w:vAlign w:val="bottom"/>
          </w:tcPr>
          <w:p>
            <w:pPr>
              <w:ind w:left="240"/>
              <w:spacing w:after="0"/>
              <w:rPr>
                <w:sz w:val="20"/>
                <w:szCs w:val="20"/>
                <w:color w:val="auto"/>
              </w:rPr>
            </w:pPr>
            <w:r>
              <w:rPr>
                <w:rFonts w:ascii="Arial" w:cs="Arial" w:eastAsia="Arial" w:hAnsi="Arial"/>
                <w:sz w:val="15"/>
                <w:szCs w:val="15"/>
                <w:color w:val="auto"/>
              </w:rPr>
              <w:t>Derivative gains, net</w:t>
            </w: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(464)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(451)</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(784)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(314)</w:t>
            </w:r>
          </w:p>
        </w:tc>
      </w:tr>
      <w:tr>
        <w:trPr>
          <w:trHeight w:val="204"/>
        </w:trPr>
        <w:tc>
          <w:tcPr>
            <w:tcW w:w="4920" w:type="dxa"/>
            <w:vAlign w:val="bottom"/>
            <w:shd w:val="clear" w:color="auto" w:fill="DBDBDB"/>
          </w:tcPr>
          <w:p>
            <w:pPr>
              <w:ind w:left="240"/>
              <w:spacing w:after="0"/>
              <w:rPr>
                <w:sz w:val="20"/>
                <w:szCs w:val="20"/>
                <w:color w:val="auto"/>
              </w:rPr>
            </w:pPr>
            <w:r>
              <w:rPr>
                <w:rFonts w:ascii="Arial" w:cs="Arial" w:eastAsia="Arial" w:hAnsi="Arial"/>
                <w:sz w:val="15"/>
                <w:szCs w:val="15"/>
                <w:color w:val="auto"/>
              </w:rPr>
              <w:t>Cash receipts on derivative settlements, net</w:t>
            </w:r>
          </w:p>
        </w:tc>
        <w:tc>
          <w:tcPr>
            <w:tcW w:w="180" w:type="dxa"/>
            <w:vAlign w:val="bottom"/>
            <w:shd w:val="clear" w:color="auto" w:fill="DBDBDB"/>
          </w:tcPr>
          <w:p>
            <w:pPr>
              <w:spacing w:after="0"/>
              <w:rPr>
                <w:sz w:val="17"/>
                <w:szCs w:val="17"/>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297</w:t>
            </w:r>
          </w:p>
        </w:tc>
        <w:tc>
          <w:tcPr>
            <w:tcW w:w="100" w:type="dxa"/>
            <w:vAlign w:val="bottom"/>
            <w:shd w:val="clear" w:color="auto" w:fill="DBDBDB"/>
          </w:tcPr>
          <w:p>
            <w:pPr>
              <w:spacing w:after="0"/>
              <w:rPr>
                <w:sz w:val="17"/>
                <w:szCs w:val="17"/>
                <w:color w:val="auto"/>
              </w:rPr>
            </w:pPr>
          </w:p>
        </w:tc>
        <w:tc>
          <w:tcPr>
            <w:tcW w:w="340" w:type="dxa"/>
            <w:vAlign w:val="bottom"/>
            <w:shd w:val="clear" w:color="auto" w:fill="DBDBDB"/>
          </w:tcPr>
          <w:p>
            <w:pPr>
              <w:spacing w:after="0"/>
              <w:rPr>
                <w:sz w:val="17"/>
                <w:szCs w:val="17"/>
                <w:color w:val="auto"/>
              </w:rPr>
            </w:pPr>
          </w:p>
        </w:tc>
        <w:tc>
          <w:tcPr>
            <w:tcW w:w="1160" w:type="dxa"/>
            <w:vAlign w:val="bottom"/>
            <w:shd w:val="clear" w:color="auto" w:fill="DBDBDB"/>
          </w:tcPr>
          <w:p>
            <w:pPr>
              <w:jc w:val="right"/>
              <w:ind w:right="4"/>
              <w:spacing w:after="0"/>
              <w:rPr>
                <w:sz w:val="20"/>
                <w:szCs w:val="20"/>
                <w:color w:val="auto"/>
              </w:rPr>
            </w:pPr>
            <w:r>
              <w:rPr>
                <w:rFonts w:ascii="Arial" w:cs="Arial" w:eastAsia="Arial" w:hAnsi="Arial"/>
                <w:sz w:val="15"/>
                <w:szCs w:val="15"/>
                <w:color w:val="auto"/>
              </w:rPr>
              <w:t>131</w:t>
            </w:r>
          </w:p>
        </w:tc>
        <w:tc>
          <w:tcPr>
            <w:tcW w:w="8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205</w:t>
            </w:r>
          </w:p>
        </w:tc>
        <w:tc>
          <w:tcPr>
            <w:tcW w:w="100" w:type="dxa"/>
            <w:vAlign w:val="bottom"/>
            <w:shd w:val="clear" w:color="auto" w:fill="DBDBDB"/>
          </w:tcPr>
          <w:p>
            <w:pPr>
              <w:spacing w:after="0"/>
              <w:rPr>
                <w:sz w:val="17"/>
                <w:szCs w:val="17"/>
                <w:color w:val="auto"/>
              </w:rPr>
            </w:pPr>
          </w:p>
        </w:tc>
        <w:tc>
          <w:tcPr>
            <w:tcW w:w="360" w:type="dxa"/>
            <w:vAlign w:val="bottom"/>
            <w:shd w:val="clear" w:color="auto" w:fill="DBDBDB"/>
          </w:tcPr>
          <w:p>
            <w:pPr>
              <w:spacing w:after="0"/>
              <w:rPr>
                <w:sz w:val="17"/>
                <w:szCs w:val="17"/>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102</w:t>
            </w:r>
          </w:p>
        </w:tc>
      </w:tr>
      <w:tr>
        <w:trPr>
          <w:trHeight w:val="201"/>
        </w:trPr>
        <w:tc>
          <w:tcPr>
            <w:tcW w:w="4920" w:type="dxa"/>
            <w:vAlign w:val="bottom"/>
          </w:tcPr>
          <w:p>
            <w:pPr>
              <w:ind w:left="240"/>
              <w:spacing w:after="0"/>
              <w:rPr>
                <w:sz w:val="20"/>
                <w:szCs w:val="20"/>
                <w:color w:val="auto"/>
              </w:rPr>
            </w:pPr>
            <w:r>
              <w:rPr>
                <w:rFonts w:ascii="Arial" w:cs="Arial" w:eastAsia="Arial" w:hAnsi="Arial"/>
                <w:sz w:val="15"/>
                <w:szCs w:val="15"/>
                <w:color w:val="auto"/>
              </w:rPr>
              <w:t>Share-based compensation</w:t>
            </w: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11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ind w:right="4"/>
              <w:spacing w:after="0"/>
              <w:rPr>
                <w:sz w:val="20"/>
                <w:szCs w:val="20"/>
                <w:color w:val="auto"/>
              </w:rPr>
            </w:pPr>
            <w:r>
              <w:rPr>
                <w:rFonts w:ascii="Arial" w:cs="Arial" w:eastAsia="Arial" w:hAnsi="Arial"/>
                <w:sz w:val="15"/>
                <w:szCs w:val="15"/>
                <w:color w:val="auto"/>
              </w:rPr>
              <w:t>12</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33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34</w:t>
            </w:r>
          </w:p>
        </w:tc>
      </w:tr>
      <w:tr>
        <w:trPr>
          <w:trHeight w:val="204"/>
        </w:trPr>
        <w:tc>
          <w:tcPr>
            <w:tcW w:w="4920" w:type="dxa"/>
            <w:vAlign w:val="bottom"/>
            <w:shd w:val="clear" w:color="auto" w:fill="DBDBDB"/>
          </w:tcPr>
          <w:p>
            <w:pPr>
              <w:ind w:left="240"/>
              <w:spacing w:after="0"/>
              <w:rPr>
                <w:sz w:val="20"/>
                <w:szCs w:val="20"/>
                <w:color w:val="auto"/>
              </w:rPr>
            </w:pPr>
            <w:r>
              <w:rPr>
                <w:rFonts w:ascii="Arial" w:cs="Arial" w:eastAsia="Arial" w:hAnsi="Arial"/>
                <w:sz w:val="15"/>
                <w:szCs w:val="15"/>
                <w:color w:val="auto"/>
              </w:rPr>
              <w:t>(Gains) losses on sales of assets</w:t>
            </w:r>
          </w:p>
        </w:tc>
        <w:tc>
          <w:tcPr>
            <w:tcW w:w="180" w:type="dxa"/>
            <w:vAlign w:val="bottom"/>
            <w:shd w:val="clear" w:color="auto" w:fill="DBDBDB"/>
          </w:tcPr>
          <w:p>
            <w:pPr>
              <w:spacing w:after="0"/>
              <w:rPr>
                <w:sz w:val="17"/>
                <w:szCs w:val="17"/>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(14)</w:t>
            </w:r>
          </w:p>
        </w:tc>
        <w:tc>
          <w:tcPr>
            <w:tcW w:w="100" w:type="dxa"/>
            <w:vAlign w:val="bottom"/>
            <w:shd w:val="clear" w:color="auto" w:fill="DBDBDB"/>
          </w:tcPr>
          <w:p>
            <w:pPr>
              <w:spacing w:after="0"/>
              <w:rPr>
                <w:sz w:val="17"/>
                <w:szCs w:val="17"/>
                <w:color w:val="auto"/>
              </w:rPr>
            </w:pPr>
          </w:p>
        </w:tc>
        <w:tc>
          <w:tcPr>
            <w:tcW w:w="340" w:type="dxa"/>
            <w:vAlign w:val="bottom"/>
            <w:shd w:val="clear" w:color="auto" w:fill="DBDBDB"/>
          </w:tcPr>
          <w:p>
            <w:pPr>
              <w:spacing w:after="0"/>
              <w:rPr>
                <w:sz w:val="17"/>
                <w:szCs w:val="17"/>
                <w:color w:val="auto"/>
              </w:rPr>
            </w:pPr>
          </w:p>
        </w:tc>
        <w:tc>
          <w:tcPr>
            <w:tcW w:w="1160" w:type="dxa"/>
            <w:vAlign w:val="bottom"/>
            <w:shd w:val="clear" w:color="auto" w:fill="DBDBDB"/>
          </w:tcPr>
          <w:p>
            <w:pPr>
              <w:jc w:val="right"/>
              <w:ind w:right="4"/>
              <w:spacing w:after="0"/>
              <w:rPr>
                <w:sz w:val="20"/>
                <w:szCs w:val="20"/>
                <w:color w:val="auto"/>
              </w:rPr>
            </w:pPr>
            <w:r>
              <w:rPr>
                <w:rFonts w:ascii="Arial" w:cs="Arial" w:eastAsia="Arial" w:hAnsi="Arial"/>
                <w:sz w:val="15"/>
                <w:szCs w:val="15"/>
                <w:color w:val="auto"/>
              </w:rPr>
              <w:t>1</w:t>
            </w:r>
          </w:p>
        </w:tc>
        <w:tc>
          <w:tcPr>
            <w:tcW w:w="8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(13)</w:t>
            </w:r>
          </w:p>
        </w:tc>
        <w:tc>
          <w:tcPr>
            <w:tcW w:w="100" w:type="dxa"/>
            <w:vAlign w:val="bottom"/>
            <w:shd w:val="clear" w:color="auto" w:fill="DBDBDB"/>
          </w:tcPr>
          <w:p>
            <w:pPr>
              <w:spacing w:after="0"/>
              <w:rPr>
                <w:sz w:val="17"/>
                <w:szCs w:val="17"/>
                <w:color w:val="auto"/>
              </w:rPr>
            </w:pPr>
          </w:p>
        </w:tc>
        <w:tc>
          <w:tcPr>
            <w:tcW w:w="360" w:type="dxa"/>
            <w:vAlign w:val="bottom"/>
            <w:shd w:val="clear" w:color="auto" w:fill="DBDBDB"/>
          </w:tcPr>
          <w:p>
            <w:pPr>
              <w:spacing w:after="0"/>
              <w:rPr>
                <w:sz w:val="17"/>
                <w:szCs w:val="17"/>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w:t>
            </w:r>
          </w:p>
        </w:tc>
      </w:tr>
      <w:tr>
        <w:trPr>
          <w:trHeight w:val="201"/>
        </w:trPr>
        <w:tc>
          <w:tcPr>
            <w:tcW w:w="4920" w:type="dxa"/>
            <w:vAlign w:val="bottom"/>
          </w:tcPr>
          <w:p>
            <w:pPr>
              <w:ind w:left="240"/>
              <w:spacing w:after="0"/>
              <w:rPr>
                <w:sz w:val="20"/>
                <w:szCs w:val="20"/>
                <w:color w:val="auto"/>
              </w:rPr>
            </w:pPr>
            <w:r>
              <w:rPr>
                <w:rFonts w:ascii="Arial" w:cs="Arial" w:eastAsia="Arial" w:hAnsi="Arial"/>
                <w:sz w:val="15"/>
                <w:szCs w:val="15"/>
                <w:color w:val="auto"/>
              </w:rPr>
              <w:t>Contract amortization</w:t>
            </w: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(39)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(47)</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(137)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(171)</w:t>
            </w:r>
          </w:p>
        </w:tc>
      </w:tr>
      <w:tr>
        <w:trPr>
          <w:trHeight w:val="204"/>
        </w:trPr>
        <w:tc>
          <w:tcPr>
            <w:tcW w:w="4920" w:type="dxa"/>
            <w:vAlign w:val="bottom"/>
            <w:shd w:val="clear" w:color="auto" w:fill="DBDBDB"/>
          </w:tcPr>
          <w:p>
            <w:pPr>
              <w:ind w:left="240"/>
              <w:spacing w:after="0"/>
              <w:rPr>
                <w:sz w:val="20"/>
                <w:szCs w:val="20"/>
                <w:color w:val="auto"/>
              </w:rPr>
            </w:pPr>
            <w:r>
              <w:rPr>
                <w:rFonts w:ascii="Arial" w:cs="Arial" w:eastAsia="Arial" w:hAnsi="Arial"/>
                <w:sz w:val="15"/>
                <w:szCs w:val="15"/>
                <w:color w:val="auto"/>
              </w:rPr>
              <w:t>Gains on purchases, exchanges or extinguishments of debt</w:t>
            </w:r>
          </w:p>
        </w:tc>
        <w:tc>
          <w:tcPr>
            <w:tcW w:w="180" w:type="dxa"/>
            <w:vAlign w:val="bottom"/>
            <w:shd w:val="clear" w:color="auto" w:fill="DBDBDB"/>
          </w:tcPr>
          <w:p>
            <w:pPr>
              <w:spacing w:after="0"/>
              <w:rPr>
                <w:sz w:val="17"/>
                <w:szCs w:val="17"/>
                <w:color w:val="auto"/>
              </w:rPr>
            </w:pPr>
          </w:p>
        </w:tc>
        <w:tc>
          <w:tcPr>
            <w:tcW w:w="142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340" w:type="dxa"/>
            <w:vAlign w:val="bottom"/>
            <w:shd w:val="clear" w:color="auto" w:fill="DBDBDB"/>
          </w:tcPr>
          <w:p>
            <w:pPr>
              <w:spacing w:after="0"/>
              <w:rPr>
                <w:sz w:val="17"/>
                <w:szCs w:val="17"/>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w:t>
            </w:r>
          </w:p>
        </w:tc>
        <w:tc>
          <w:tcPr>
            <w:tcW w:w="8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(37)</w:t>
            </w:r>
          </w:p>
        </w:tc>
        <w:tc>
          <w:tcPr>
            <w:tcW w:w="100" w:type="dxa"/>
            <w:vAlign w:val="bottom"/>
            <w:shd w:val="clear" w:color="auto" w:fill="DBDBDB"/>
          </w:tcPr>
          <w:p>
            <w:pPr>
              <w:spacing w:after="0"/>
              <w:rPr>
                <w:sz w:val="17"/>
                <w:szCs w:val="17"/>
                <w:color w:val="auto"/>
              </w:rPr>
            </w:pPr>
          </w:p>
        </w:tc>
        <w:tc>
          <w:tcPr>
            <w:tcW w:w="360" w:type="dxa"/>
            <w:vAlign w:val="bottom"/>
            <w:shd w:val="clear" w:color="auto" w:fill="DBDBDB"/>
          </w:tcPr>
          <w:p>
            <w:pPr>
              <w:spacing w:after="0"/>
              <w:rPr>
                <w:sz w:val="17"/>
                <w:szCs w:val="17"/>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w:t>
            </w:r>
          </w:p>
        </w:tc>
      </w:tr>
      <w:tr>
        <w:trPr>
          <w:trHeight w:val="201"/>
        </w:trPr>
        <w:tc>
          <w:tcPr>
            <w:tcW w:w="4920" w:type="dxa"/>
            <w:vAlign w:val="bottom"/>
          </w:tcPr>
          <w:p>
            <w:pPr>
              <w:ind w:left="240"/>
              <w:spacing w:after="0"/>
              <w:rPr>
                <w:sz w:val="20"/>
                <w:szCs w:val="20"/>
                <w:color w:val="auto"/>
              </w:rPr>
            </w:pPr>
            <w:r>
              <w:rPr>
                <w:rFonts w:ascii="Arial" w:cs="Arial" w:eastAsia="Arial" w:hAnsi="Arial"/>
                <w:sz w:val="15"/>
                <w:szCs w:val="15"/>
                <w:color w:val="auto"/>
              </w:rPr>
              <w:t>Other</w:t>
            </w: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ind w:right="4"/>
              <w:spacing w:after="0"/>
              <w:rPr>
                <w:sz w:val="20"/>
                <w:szCs w:val="20"/>
                <w:color w:val="auto"/>
              </w:rPr>
            </w:pPr>
            <w:r>
              <w:rPr>
                <w:rFonts w:ascii="Arial" w:cs="Arial" w:eastAsia="Arial" w:hAnsi="Arial"/>
                <w:sz w:val="15"/>
                <w:szCs w:val="15"/>
                <w:color w:val="auto"/>
              </w:rPr>
              <w:t>10</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37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26</w:t>
            </w:r>
          </w:p>
        </w:tc>
      </w:tr>
      <w:tr>
        <w:trPr>
          <w:trHeight w:val="204"/>
        </w:trPr>
        <w:tc>
          <w:tcPr>
            <w:tcW w:w="4920" w:type="dxa"/>
            <w:vAlign w:val="bottom"/>
            <w:shd w:val="clear" w:color="auto" w:fill="DBDBDB"/>
          </w:tcPr>
          <w:p>
            <w:pPr>
              <w:ind w:left="240"/>
              <w:spacing w:after="0"/>
              <w:rPr>
                <w:sz w:val="20"/>
                <w:szCs w:val="20"/>
                <w:color w:val="auto"/>
              </w:rPr>
            </w:pPr>
            <w:r>
              <w:rPr>
                <w:rFonts w:ascii="Arial" w:cs="Arial" w:eastAsia="Arial" w:hAnsi="Arial"/>
                <w:sz w:val="15"/>
                <w:szCs w:val="15"/>
                <w:color w:val="auto"/>
              </w:rPr>
              <w:t>Changes in assets and liabilities</w:t>
            </w:r>
          </w:p>
        </w:tc>
        <w:tc>
          <w:tcPr>
            <w:tcW w:w="180" w:type="dxa"/>
            <w:vAlign w:val="bottom"/>
            <w:tcBorders>
              <w:bottom w:val="single" w:sz="8" w:color="auto"/>
            </w:tcBorders>
            <w:shd w:val="clear" w:color="auto" w:fill="DBDBDB"/>
          </w:tcPr>
          <w:p>
            <w:pPr>
              <w:spacing w:after="0"/>
              <w:rPr>
                <w:sz w:val="17"/>
                <w:szCs w:val="17"/>
                <w:color w:val="auto"/>
              </w:rPr>
            </w:pPr>
          </w:p>
        </w:tc>
        <w:tc>
          <w:tcPr>
            <w:tcW w:w="1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29</w:t>
            </w:r>
          </w:p>
        </w:tc>
        <w:tc>
          <w:tcPr>
            <w:tcW w:w="100" w:type="dxa"/>
            <w:vAlign w:val="bottom"/>
            <w:shd w:val="clear" w:color="auto" w:fill="DBDBDB"/>
          </w:tcPr>
          <w:p>
            <w:pPr>
              <w:spacing w:after="0"/>
              <w:rPr>
                <w:sz w:val="17"/>
                <w:szCs w:val="17"/>
                <w:color w:val="auto"/>
              </w:rPr>
            </w:pPr>
          </w:p>
        </w:tc>
        <w:tc>
          <w:tcPr>
            <w:tcW w:w="340" w:type="dxa"/>
            <w:vAlign w:val="bottom"/>
            <w:tcBorders>
              <w:bottom w:val="single" w:sz="8" w:color="auto"/>
            </w:tcBorders>
            <w:shd w:val="clear" w:color="auto" w:fill="DBDBDB"/>
          </w:tcPr>
          <w:p>
            <w:pPr>
              <w:spacing w:after="0"/>
              <w:rPr>
                <w:sz w:val="17"/>
                <w:szCs w:val="17"/>
                <w:color w:val="auto"/>
              </w:rPr>
            </w:pPr>
          </w:p>
        </w:tc>
        <w:tc>
          <w:tcPr>
            <w:tcW w:w="1160" w:type="dxa"/>
            <w:vAlign w:val="bottom"/>
            <w:tcBorders>
              <w:bottom w:val="single" w:sz="8" w:color="auto"/>
            </w:tcBorders>
            <w:shd w:val="clear" w:color="auto" w:fill="DBDBDB"/>
          </w:tcPr>
          <w:p>
            <w:pPr>
              <w:jc w:val="right"/>
              <w:ind w:right="4"/>
              <w:spacing w:after="0"/>
              <w:rPr>
                <w:sz w:val="20"/>
                <w:szCs w:val="20"/>
                <w:color w:val="auto"/>
              </w:rPr>
            </w:pPr>
            <w:r>
              <w:rPr>
                <w:rFonts w:ascii="Arial" w:cs="Arial" w:eastAsia="Arial" w:hAnsi="Arial"/>
                <w:sz w:val="15"/>
                <w:szCs w:val="15"/>
                <w:color w:val="auto"/>
              </w:rPr>
              <w:t>72</w:t>
            </w:r>
          </w:p>
        </w:tc>
        <w:tc>
          <w:tcPr>
            <w:tcW w:w="80" w:type="dxa"/>
            <w:vAlign w:val="bottom"/>
            <w:shd w:val="clear" w:color="auto" w:fill="DBDBDB"/>
          </w:tcPr>
          <w:p>
            <w:pPr>
              <w:spacing w:after="0"/>
              <w:rPr>
                <w:sz w:val="17"/>
                <w:szCs w:val="17"/>
                <w:color w:val="auto"/>
              </w:rPr>
            </w:pPr>
          </w:p>
        </w:tc>
        <w:tc>
          <w:tcPr>
            <w:tcW w:w="220" w:type="dxa"/>
            <w:vAlign w:val="bottom"/>
            <w:tcBorders>
              <w:bottom w:val="single" w:sz="8" w:color="auto"/>
            </w:tcBorders>
            <w:shd w:val="clear" w:color="auto" w:fill="DBDBDB"/>
          </w:tcPr>
          <w:p>
            <w:pPr>
              <w:spacing w:after="0"/>
              <w:rPr>
                <w:sz w:val="17"/>
                <w:szCs w:val="17"/>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438</w:t>
            </w:r>
          </w:p>
        </w:tc>
        <w:tc>
          <w:tcPr>
            <w:tcW w:w="100" w:type="dxa"/>
            <w:vAlign w:val="bottom"/>
            <w:shd w:val="clear" w:color="auto" w:fill="DBDBDB"/>
          </w:tcPr>
          <w:p>
            <w:pPr>
              <w:spacing w:after="0"/>
              <w:rPr>
                <w:sz w:val="17"/>
                <w:szCs w:val="17"/>
                <w:color w:val="auto"/>
              </w:rPr>
            </w:pPr>
          </w:p>
        </w:tc>
        <w:tc>
          <w:tcPr>
            <w:tcW w:w="360" w:type="dxa"/>
            <w:vAlign w:val="bottom"/>
            <w:tcBorders>
              <w:bottom w:val="single" w:sz="8" w:color="auto"/>
            </w:tcBorders>
            <w:shd w:val="clear" w:color="auto" w:fill="DBDBDB"/>
          </w:tcPr>
          <w:p>
            <w:pPr>
              <w:spacing w:after="0"/>
              <w:rPr>
                <w:sz w:val="17"/>
                <w:szCs w:val="17"/>
                <w:color w:val="auto"/>
              </w:rPr>
            </w:pP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142</w:t>
            </w:r>
          </w:p>
        </w:tc>
      </w:tr>
      <w:tr>
        <w:trPr>
          <w:trHeight w:val="195"/>
        </w:trPr>
        <w:tc>
          <w:tcPr>
            <w:tcW w:w="4920" w:type="dxa"/>
            <w:vAlign w:val="bottom"/>
            <w:tcBorders>
              <w:bottom w:val="single" w:sz="8" w:color="DBDBDB"/>
            </w:tcBorders>
          </w:tcPr>
          <w:p>
            <w:pPr>
              <w:ind w:left="360"/>
              <w:spacing w:after="0"/>
              <w:rPr>
                <w:sz w:val="20"/>
                <w:szCs w:val="20"/>
                <w:color w:val="auto"/>
              </w:rPr>
            </w:pPr>
            <w:r>
              <w:rPr>
                <w:rFonts w:ascii="Arial" w:cs="Arial" w:eastAsia="Arial" w:hAnsi="Arial"/>
                <w:sz w:val="15"/>
                <w:szCs w:val="15"/>
                <w:color w:val="auto"/>
              </w:rPr>
              <w:t>Net cash provided by operating activities</w:t>
            </w: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1,177</w:t>
            </w:r>
          </w:p>
        </w:tc>
        <w:tc>
          <w:tcPr>
            <w:tcW w:w="100" w:type="dxa"/>
            <w:vAlign w:val="bottom"/>
            <w:tcBorders>
              <w:bottom w:val="single" w:sz="8" w:color="DBDBDB"/>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1,201</w:t>
            </w:r>
          </w:p>
        </w:tc>
        <w:tc>
          <w:tcPr>
            <w:tcW w:w="80" w:type="dxa"/>
            <w:vAlign w:val="bottom"/>
            <w:tcBorders>
              <w:bottom w:val="single" w:sz="8" w:color="DBDBDB"/>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4,675</w:t>
            </w:r>
          </w:p>
        </w:tc>
        <w:tc>
          <w:tcPr>
            <w:tcW w:w="100" w:type="dxa"/>
            <w:vAlign w:val="bottom"/>
            <w:tcBorders>
              <w:bottom w:val="single" w:sz="8" w:color="DBDBDB"/>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3,619</w:t>
            </w:r>
          </w:p>
        </w:tc>
      </w:tr>
      <w:tr>
        <w:trPr>
          <w:trHeight w:val="184"/>
        </w:trPr>
        <w:tc>
          <w:tcPr>
            <w:tcW w:w="4920" w:type="dxa"/>
            <w:vAlign w:val="bottom"/>
            <w:shd w:val="clear" w:color="auto" w:fill="DBDBDB"/>
          </w:tcPr>
          <w:p>
            <w:pPr>
              <w:ind w:left="20"/>
              <w:spacing w:after="0"/>
              <w:rPr>
                <w:sz w:val="20"/>
                <w:szCs w:val="20"/>
                <w:color w:val="auto"/>
              </w:rPr>
            </w:pPr>
            <w:r>
              <w:rPr>
                <w:rFonts w:ascii="Arial" w:cs="Arial" w:eastAsia="Arial" w:hAnsi="Arial"/>
                <w:sz w:val="15"/>
                <w:szCs w:val="15"/>
                <w:b w:val="1"/>
                <w:bCs w:val="1"/>
                <w:color w:val="auto"/>
              </w:rPr>
              <w:t>Cash flows from investing activities:</w:t>
            </w:r>
          </w:p>
        </w:tc>
        <w:tc>
          <w:tcPr>
            <w:tcW w:w="180" w:type="dxa"/>
            <w:vAlign w:val="bottom"/>
            <w:shd w:val="clear" w:color="auto" w:fill="DBDBDB"/>
          </w:tcPr>
          <w:p>
            <w:pPr>
              <w:spacing w:after="0"/>
              <w:rPr>
                <w:sz w:val="15"/>
                <w:szCs w:val="15"/>
                <w:color w:val="auto"/>
              </w:rPr>
            </w:pPr>
          </w:p>
        </w:tc>
        <w:tc>
          <w:tcPr>
            <w:tcW w:w="132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340" w:type="dxa"/>
            <w:vAlign w:val="bottom"/>
            <w:shd w:val="clear" w:color="auto" w:fill="DBDBDB"/>
          </w:tcPr>
          <w:p>
            <w:pPr>
              <w:spacing w:after="0"/>
              <w:rPr>
                <w:sz w:val="15"/>
                <w:szCs w:val="15"/>
                <w:color w:val="auto"/>
              </w:rPr>
            </w:pPr>
          </w:p>
        </w:tc>
        <w:tc>
          <w:tcPr>
            <w:tcW w:w="116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130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360" w:type="dxa"/>
            <w:vAlign w:val="bottom"/>
            <w:shd w:val="clear" w:color="auto" w:fill="DBDBDB"/>
          </w:tcPr>
          <w:p>
            <w:pPr>
              <w:spacing w:after="0"/>
              <w:rPr>
                <w:sz w:val="15"/>
                <w:szCs w:val="15"/>
                <w:color w:val="auto"/>
              </w:rPr>
            </w:pPr>
          </w:p>
        </w:tc>
        <w:tc>
          <w:tcPr>
            <w:tcW w:w="1160" w:type="dxa"/>
            <w:vAlign w:val="bottom"/>
            <w:shd w:val="clear" w:color="auto" w:fill="DBDBDB"/>
          </w:tcPr>
          <w:p>
            <w:pPr>
              <w:spacing w:after="0"/>
              <w:rPr>
                <w:sz w:val="15"/>
                <w:szCs w:val="15"/>
                <w:color w:val="auto"/>
              </w:rPr>
            </w:pPr>
          </w:p>
        </w:tc>
      </w:tr>
      <w:tr>
        <w:trPr>
          <w:trHeight w:val="201"/>
        </w:trPr>
        <w:tc>
          <w:tcPr>
            <w:tcW w:w="4920" w:type="dxa"/>
            <w:vAlign w:val="bottom"/>
          </w:tcPr>
          <w:p>
            <w:pPr>
              <w:ind w:left="240"/>
              <w:spacing w:after="0"/>
              <w:rPr>
                <w:sz w:val="20"/>
                <w:szCs w:val="20"/>
                <w:color w:val="auto"/>
              </w:rPr>
            </w:pPr>
            <w:r>
              <w:rPr>
                <w:rFonts w:ascii="Arial" w:cs="Arial" w:eastAsia="Arial" w:hAnsi="Arial"/>
                <w:sz w:val="15"/>
                <w:szCs w:val="15"/>
                <w:color w:val="auto"/>
              </w:rPr>
              <w:t>Capital expenditures</w:t>
            </w: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(838)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(775)</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(2,298)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(1,995)</w:t>
            </w:r>
          </w:p>
        </w:tc>
      </w:tr>
      <w:tr>
        <w:trPr>
          <w:trHeight w:val="204"/>
        </w:trPr>
        <w:tc>
          <w:tcPr>
            <w:tcW w:w="4920" w:type="dxa"/>
            <w:vAlign w:val="bottom"/>
            <w:shd w:val="clear" w:color="auto" w:fill="DBDBDB"/>
          </w:tcPr>
          <w:p>
            <w:pPr>
              <w:ind w:left="240"/>
              <w:spacing w:after="0"/>
              <w:rPr>
                <w:sz w:val="20"/>
                <w:szCs w:val="20"/>
                <w:color w:val="auto"/>
              </w:rPr>
            </w:pPr>
            <w:r>
              <w:rPr>
                <w:rFonts w:ascii="Arial" w:cs="Arial" w:eastAsia="Arial" w:hAnsi="Arial"/>
                <w:sz w:val="15"/>
                <w:szCs w:val="15"/>
                <w:color w:val="auto"/>
              </w:rPr>
              <w:t>Business combination, net</w:t>
            </w:r>
          </w:p>
        </w:tc>
        <w:tc>
          <w:tcPr>
            <w:tcW w:w="180" w:type="dxa"/>
            <w:vAlign w:val="bottom"/>
            <w:shd w:val="clear" w:color="auto" w:fill="DBDBDB"/>
          </w:tcPr>
          <w:p>
            <w:pPr>
              <w:spacing w:after="0"/>
              <w:rPr>
                <w:sz w:val="17"/>
                <w:szCs w:val="17"/>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(1,395)</w:t>
            </w:r>
          </w:p>
        </w:tc>
        <w:tc>
          <w:tcPr>
            <w:tcW w:w="100" w:type="dxa"/>
            <w:vAlign w:val="bottom"/>
            <w:shd w:val="clear" w:color="auto" w:fill="DBDBDB"/>
          </w:tcPr>
          <w:p>
            <w:pPr>
              <w:spacing w:after="0"/>
              <w:rPr>
                <w:sz w:val="17"/>
                <w:szCs w:val="17"/>
                <w:color w:val="auto"/>
              </w:rPr>
            </w:pPr>
          </w:p>
        </w:tc>
        <w:tc>
          <w:tcPr>
            <w:tcW w:w="340" w:type="dxa"/>
            <w:vAlign w:val="bottom"/>
            <w:shd w:val="clear" w:color="auto" w:fill="DBDBDB"/>
          </w:tcPr>
          <w:p>
            <w:pPr>
              <w:spacing w:after="0"/>
              <w:rPr>
                <w:sz w:val="17"/>
                <w:szCs w:val="17"/>
                <w:color w:val="auto"/>
              </w:rPr>
            </w:pPr>
          </w:p>
        </w:tc>
        <w:tc>
          <w:tcPr>
            <w:tcW w:w="124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shd w:val="clear" w:color="auto" w:fill="DBDBDB"/>
          </w:tcPr>
          <w:p>
            <w:pPr>
              <w:spacing w:after="0"/>
              <w:rPr>
                <w:sz w:val="17"/>
                <w:szCs w:val="17"/>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(1,395)</w:t>
            </w:r>
          </w:p>
        </w:tc>
        <w:tc>
          <w:tcPr>
            <w:tcW w:w="100" w:type="dxa"/>
            <w:vAlign w:val="bottom"/>
            <w:shd w:val="clear" w:color="auto" w:fill="DBDBDB"/>
          </w:tcPr>
          <w:p>
            <w:pPr>
              <w:spacing w:after="0"/>
              <w:rPr>
                <w:sz w:val="17"/>
                <w:szCs w:val="17"/>
                <w:color w:val="auto"/>
              </w:rPr>
            </w:pPr>
          </w:p>
        </w:tc>
        <w:tc>
          <w:tcPr>
            <w:tcW w:w="360" w:type="dxa"/>
            <w:vAlign w:val="bottom"/>
            <w:shd w:val="clear" w:color="auto" w:fill="DBDBDB"/>
          </w:tcPr>
          <w:p>
            <w:pPr>
              <w:spacing w:after="0"/>
              <w:rPr>
                <w:sz w:val="17"/>
                <w:szCs w:val="17"/>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r>
      <w:tr>
        <w:trPr>
          <w:trHeight w:val="201"/>
        </w:trPr>
        <w:tc>
          <w:tcPr>
            <w:tcW w:w="4920" w:type="dxa"/>
            <w:vAlign w:val="bottom"/>
          </w:tcPr>
          <w:p>
            <w:pPr>
              <w:ind w:left="240"/>
              <w:spacing w:after="0"/>
              <w:rPr>
                <w:sz w:val="20"/>
                <w:szCs w:val="20"/>
                <w:color w:val="auto"/>
              </w:rPr>
            </w:pPr>
            <w:r>
              <w:rPr>
                <w:rFonts w:ascii="Arial" w:cs="Arial" w:eastAsia="Arial" w:hAnsi="Arial"/>
                <w:sz w:val="15"/>
                <w:szCs w:val="15"/>
                <w:color w:val="auto"/>
              </w:rPr>
              <w:t>Property acquisitions</w:t>
            </w: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(69)</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(69)</w:t>
            </w:r>
          </w:p>
        </w:tc>
      </w:tr>
      <w:tr>
        <w:trPr>
          <w:trHeight w:val="204"/>
        </w:trPr>
        <w:tc>
          <w:tcPr>
            <w:tcW w:w="4920" w:type="dxa"/>
            <w:vAlign w:val="bottom"/>
            <w:shd w:val="clear" w:color="auto" w:fill="DBDBDB"/>
          </w:tcPr>
          <w:p>
            <w:pPr>
              <w:ind w:left="240"/>
              <w:spacing w:after="0"/>
              <w:rPr>
                <w:sz w:val="20"/>
                <w:szCs w:val="20"/>
                <w:color w:val="auto"/>
              </w:rPr>
            </w:pPr>
            <w:r>
              <w:rPr>
                <w:rFonts w:ascii="Arial" w:cs="Arial" w:eastAsia="Arial" w:hAnsi="Arial"/>
                <w:sz w:val="15"/>
                <w:szCs w:val="15"/>
                <w:color w:val="auto"/>
              </w:rPr>
              <w:t>Receipts of deferred consideration</w:t>
            </w:r>
          </w:p>
        </w:tc>
        <w:tc>
          <w:tcPr>
            <w:tcW w:w="180" w:type="dxa"/>
            <w:vAlign w:val="bottom"/>
            <w:shd w:val="clear" w:color="auto" w:fill="DBDBDB"/>
          </w:tcPr>
          <w:p>
            <w:pPr>
              <w:spacing w:after="0"/>
              <w:rPr>
                <w:sz w:val="17"/>
                <w:szCs w:val="17"/>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45</w:t>
            </w:r>
          </w:p>
        </w:tc>
        <w:tc>
          <w:tcPr>
            <w:tcW w:w="100" w:type="dxa"/>
            <w:vAlign w:val="bottom"/>
            <w:shd w:val="clear" w:color="auto" w:fill="DBDBDB"/>
          </w:tcPr>
          <w:p>
            <w:pPr>
              <w:spacing w:after="0"/>
              <w:rPr>
                <w:sz w:val="17"/>
                <w:szCs w:val="17"/>
                <w:color w:val="auto"/>
              </w:rPr>
            </w:pPr>
          </w:p>
        </w:tc>
        <w:tc>
          <w:tcPr>
            <w:tcW w:w="340" w:type="dxa"/>
            <w:vAlign w:val="bottom"/>
            <w:shd w:val="clear" w:color="auto" w:fill="DBDBDB"/>
          </w:tcPr>
          <w:p>
            <w:pPr>
              <w:spacing w:after="0"/>
              <w:rPr>
                <w:sz w:val="17"/>
                <w:szCs w:val="17"/>
                <w:color w:val="auto"/>
              </w:rPr>
            </w:pPr>
          </w:p>
        </w:tc>
        <w:tc>
          <w:tcPr>
            <w:tcW w:w="124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shd w:val="clear" w:color="auto" w:fill="DBDBDB"/>
          </w:tcPr>
          <w:p>
            <w:pPr>
              <w:spacing w:after="0"/>
              <w:rPr>
                <w:sz w:val="17"/>
                <w:szCs w:val="17"/>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161</w:t>
            </w:r>
          </w:p>
        </w:tc>
        <w:tc>
          <w:tcPr>
            <w:tcW w:w="100" w:type="dxa"/>
            <w:vAlign w:val="bottom"/>
            <w:shd w:val="clear" w:color="auto" w:fill="DBDBDB"/>
          </w:tcPr>
          <w:p>
            <w:pPr>
              <w:spacing w:after="0"/>
              <w:rPr>
                <w:sz w:val="17"/>
                <w:szCs w:val="17"/>
                <w:color w:val="auto"/>
              </w:rPr>
            </w:pPr>
          </w:p>
        </w:tc>
        <w:tc>
          <w:tcPr>
            <w:tcW w:w="360" w:type="dxa"/>
            <w:vAlign w:val="bottom"/>
            <w:shd w:val="clear" w:color="auto" w:fill="DBDBDB"/>
          </w:tcPr>
          <w:p>
            <w:pPr>
              <w:spacing w:after="0"/>
              <w:rPr>
                <w:sz w:val="17"/>
                <w:szCs w:val="17"/>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116</w:t>
            </w:r>
          </w:p>
        </w:tc>
      </w:tr>
      <w:tr>
        <w:trPr>
          <w:trHeight w:val="201"/>
        </w:trPr>
        <w:tc>
          <w:tcPr>
            <w:tcW w:w="4920" w:type="dxa"/>
            <w:vAlign w:val="bottom"/>
          </w:tcPr>
          <w:p>
            <w:pPr>
              <w:ind w:left="240"/>
              <w:spacing w:after="0"/>
              <w:rPr>
                <w:sz w:val="20"/>
                <w:szCs w:val="20"/>
                <w:color w:val="auto"/>
              </w:rPr>
            </w:pPr>
            <w:r>
              <w:rPr>
                <w:rFonts w:ascii="Arial" w:cs="Arial" w:eastAsia="Arial" w:hAnsi="Arial"/>
                <w:sz w:val="15"/>
                <w:szCs w:val="15"/>
                <w:color w:val="auto"/>
              </w:rPr>
              <w:t>Contributions to investments</w:t>
            </w: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(5)</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(14)</w:t>
            </w:r>
          </w:p>
        </w:tc>
      </w:tr>
      <w:tr>
        <w:trPr>
          <w:trHeight w:val="204"/>
        </w:trPr>
        <w:tc>
          <w:tcPr>
            <w:tcW w:w="4920" w:type="dxa"/>
            <w:vAlign w:val="bottom"/>
            <w:shd w:val="clear" w:color="auto" w:fill="DBDBDB"/>
          </w:tcPr>
          <w:p>
            <w:pPr>
              <w:ind w:left="240"/>
              <w:spacing w:after="0"/>
              <w:rPr>
                <w:sz w:val="20"/>
                <w:szCs w:val="20"/>
                <w:color w:val="auto"/>
              </w:rPr>
            </w:pPr>
            <w:r>
              <w:rPr>
                <w:rFonts w:ascii="Arial" w:cs="Arial" w:eastAsia="Arial" w:hAnsi="Arial"/>
                <w:sz w:val="15"/>
                <w:szCs w:val="15"/>
                <w:color w:val="auto"/>
              </w:rPr>
              <w:t>Distributions from investments</w:t>
            </w:r>
          </w:p>
        </w:tc>
        <w:tc>
          <w:tcPr>
            <w:tcW w:w="180" w:type="dxa"/>
            <w:vAlign w:val="bottom"/>
            <w:shd w:val="clear" w:color="auto" w:fill="DBDBDB"/>
          </w:tcPr>
          <w:p>
            <w:pPr>
              <w:spacing w:after="0"/>
              <w:rPr>
                <w:sz w:val="17"/>
                <w:szCs w:val="17"/>
                <w:color w:val="auto"/>
              </w:rPr>
            </w:pPr>
          </w:p>
        </w:tc>
        <w:tc>
          <w:tcPr>
            <w:tcW w:w="142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340" w:type="dxa"/>
            <w:vAlign w:val="bottom"/>
            <w:shd w:val="clear" w:color="auto" w:fill="DBDBDB"/>
          </w:tcPr>
          <w:p>
            <w:pPr>
              <w:spacing w:after="0"/>
              <w:rPr>
                <w:sz w:val="17"/>
                <w:szCs w:val="17"/>
                <w:color w:val="auto"/>
              </w:rPr>
            </w:pPr>
          </w:p>
        </w:tc>
        <w:tc>
          <w:tcPr>
            <w:tcW w:w="124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shd w:val="clear" w:color="auto" w:fill="DBDBDB"/>
          </w:tcPr>
          <w:p>
            <w:pPr>
              <w:spacing w:after="0"/>
              <w:rPr>
                <w:sz w:val="17"/>
                <w:szCs w:val="17"/>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10</w:t>
            </w:r>
          </w:p>
        </w:tc>
        <w:tc>
          <w:tcPr>
            <w:tcW w:w="100" w:type="dxa"/>
            <w:vAlign w:val="bottom"/>
            <w:shd w:val="clear" w:color="auto" w:fill="DBDBDB"/>
          </w:tcPr>
          <w:p>
            <w:pPr>
              <w:spacing w:after="0"/>
              <w:rPr>
                <w:sz w:val="17"/>
                <w:szCs w:val="17"/>
                <w:color w:val="auto"/>
              </w:rPr>
            </w:pPr>
          </w:p>
        </w:tc>
        <w:tc>
          <w:tcPr>
            <w:tcW w:w="360" w:type="dxa"/>
            <w:vAlign w:val="bottom"/>
            <w:shd w:val="clear" w:color="auto" w:fill="DBDBDB"/>
          </w:tcPr>
          <w:p>
            <w:pPr>
              <w:spacing w:after="0"/>
              <w:rPr>
                <w:sz w:val="17"/>
                <w:szCs w:val="17"/>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r>
      <w:tr>
        <w:trPr>
          <w:trHeight w:val="201"/>
        </w:trPr>
        <w:tc>
          <w:tcPr>
            <w:tcW w:w="4920" w:type="dxa"/>
            <w:vAlign w:val="bottom"/>
            <w:tcBorders>
              <w:bottom w:val="single" w:sz="8" w:color="DBDBDB"/>
            </w:tcBorders>
          </w:tcPr>
          <w:p>
            <w:pPr>
              <w:ind w:left="240"/>
              <w:spacing w:after="0"/>
              <w:rPr>
                <w:sz w:val="20"/>
                <w:szCs w:val="20"/>
                <w:color w:val="auto"/>
              </w:rPr>
            </w:pPr>
            <w:r>
              <w:rPr>
                <w:rFonts w:ascii="Arial" w:cs="Arial" w:eastAsia="Arial" w:hAnsi="Arial"/>
                <w:sz w:val="15"/>
                <w:szCs w:val="15"/>
                <w:color w:val="auto"/>
              </w:rPr>
              <w:t>Proceeds from divestitures of property and equipment</w:t>
            </w: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w:t>
            </w:r>
          </w:p>
        </w:tc>
        <w:tc>
          <w:tcPr>
            <w:tcW w:w="100" w:type="dxa"/>
            <w:vAlign w:val="bottom"/>
            <w:tcBorders>
              <w:bottom w:val="single" w:sz="8" w:color="DBDBDB"/>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4</w:t>
            </w:r>
          </w:p>
        </w:tc>
        <w:tc>
          <w:tcPr>
            <w:tcW w:w="80" w:type="dxa"/>
            <w:vAlign w:val="bottom"/>
            <w:tcBorders>
              <w:bottom w:val="single" w:sz="8" w:color="DBDBDB"/>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76</w:t>
            </w:r>
          </w:p>
        </w:tc>
        <w:tc>
          <w:tcPr>
            <w:tcW w:w="100" w:type="dxa"/>
            <w:vAlign w:val="bottom"/>
            <w:tcBorders>
              <w:bottom w:val="single" w:sz="8" w:color="DBDBDB"/>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w:t>
            </w:r>
          </w:p>
        </w:tc>
      </w:tr>
      <w:tr>
        <w:trPr>
          <w:trHeight w:val="197"/>
        </w:trPr>
        <w:tc>
          <w:tcPr>
            <w:tcW w:w="4920" w:type="dxa"/>
            <w:vAlign w:val="bottom"/>
            <w:shd w:val="clear" w:color="auto" w:fill="DBDBDB"/>
          </w:tcPr>
          <w:p>
            <w:pPr>
              <w:ind w:left="360"/>
              <w:spacing w:after="0"/>
              <w:rPr>
                <w:sz w:val="20"/>
                <w:szCs w:val="20"/>
                <w:color w:val="auto"/>
              </w:rPr>
            </w:pPr>
            <w:r>
              <w:rPr>
                <w:rFonts w:ascii="Arial" w:cs="Arial" w:eastAsia="Arial" w:hAnsi="Arial"/>
                <w:sz w:val="15"/>
                <w:szCs w:val="15"/>
                <w:color w:val="auto"/>
              </w:rPr>
              <w:t>Net cash used in investing activities</w:t>
            </w:r>
          </w:p>
        </w:tc>
        <w:tc>
          <w:tcPr>
            <w:tcW w:w="180" w:type="dxa"/>
            <w:vAlign w:val="bottom"/>
            <w:tcBorders>
              <w:bottom w:val="single" w:sz="8" w:color="auto"/>
            </w:tcBorders>
            <w:shd w:val="clear" w:color="auto" w:fill="DBDBDB"/>
          </w:tcPr>
          <w:p>
            <w:pPr>
              <w:spacing w:after="0"/>
              <w:rPr>
                <w:sz w:val="17"/>
                <w:szCs w:val="17"/>
                <w:color w:val="auto"/>
              </w:rPr>
            </w:pPr>
          </w:p>
        </w:tc>
        <w:tc>
          <w:tcPr>
            <w:tcW w:w="1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(2,158)</w:t>
            </w:r>
          </w:p>
        </w:tc>
        <w:tc>
          <w:tcPr>
            <w:tcW w:w="100" w:type="dxa"/>
            <w:vAlign w:val="bottom"/>
            <w:shd w:val="clear" w:color="auto" w:fill="DBDBDB"/>
          </w:tcPr>
          <w:p>
            <w:pPr>
              <w:spacing w:after="0"/>
              <w:rPr>
                <w:sz w:val="17"/>
                <w:szCs w:val="17"/>
                <w:color w:val="auto"/>
              </w:rPr>
            </w:pPr>
          </w:p>
        </w:tc>
        <w:tc>
          <w:tcPr>
            <w:tcW w:w="340" w:type="dxa"/>
            <w:vAlign w:val="bottom"/>
            <w:tcBorders>
              <w:bottom w:val="single" w:sz="8" w:color="auto"/>
            </w:tcBorders>
            <w:shd w:val="clear" w:color="auto" w:fill="DBDBDB"/>
          </w:tcPr>
          <w:p>
            <w:pPr>
              <w:spacing w:after="0"/>
              <w:rPr>
                <w:sz w:val="17"/>
                <w:szCs w:val="17"/>
                <w:color w:val="auto"/>
              </w:rPr>
            </w:pP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(845)</w:t>
            </w:r>
          </w:p>
        </w:tc>
        <w:tc>
          <w:tcPr>
            <w:tcW w:w="80" w:type="dxa"/>
            <w:vAlign w:val="bottom"/>
            <w:shd w:val="clear" w:color="auto" w:fill="DBDBDB"/>
          </w:tcPr>
          <w:p>
            <w:pPr>
              <w:spacing w:after="0"/>
              <w:rPr>
                <w:sz w:val="17"/>
                <w:szCs w:val="17"/>
                <w:color w:val="auto"/>
              </w:rPr>
            </w:pPr>
          </w:p>
        </w:tc>
        <w:tc>
          <w:tcPr>
            <w:tcW w:w="220" w:type="dxa"/>
            <w:vAlign w:val="bottom"/>
            <w:tcBorders>
              <w:bottom w:val="single" w:sz="8" w:color="auto"/>
            </w:tcBorders>
            <w:shd w:val="clear" w:color="auto" w:fill="DBDBDB"/>
          </w:tcPr>
          <w:p>
            <w:pPr>
              <w:spacing w:after="0"/>
              <w:rPr>
                <w:sz w:val="17"/>
                <w:szCs w:val="17"/>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(3,457)</w:t>
            </w:r>
          </w:p>
        </w:tc>
        <w:tc>
          <w:tcPr>
            <w:tcW w:w="100" w:type="dxa"/>
            <w:vAlign w:val="bottom"/>
            <w:shd w:val="clear" w:color="auto" w:fill="DBDBDB"/>
          </w:tcPr>
          <w:p>
            <w:pPr>
              <w:spacing w:after="0"/>
              <w:rPr>
                <w:sz w:val="17"/>
                <w:szCs w:val="17"/>
                <w:color w:val="auto"/>
              </w:rPr>
            </w:pPr>
          </w:p>
        </w:tc>
        <w:tc>
          <w:tcPr>
            <w:tcW w:w="360" w:type="dxa"/>
            <w:vAlign w:val="bottom"/>
            <w:tcBorders>
              <w:bottom w:val="single" w:sz="8" w:color="auto"/>
            </w:tcBorders>
            <w:shd w:val="clear" w:color="auto" w:fill="DBDBDB"/>
          </w:tcPr>
          <w:p>
            <w:pPr>
              <w:spacing w:after="0"/>
              <w:rPr>
                <w:sz w:val="17"/>
                <w:szCs w:val="17"/>
                <w:color w:val="auto"/>
              </w:rPr>
            </w:pP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(1,943)</w:t>
            </w:r>
          </w:p>
        </w:tc>
      </w:tr>
      <w:tr>
        <w:trPr>
          <w:trHeight w:val="183"/>
        </w:trPr>
        <w:tc>
          <w:tcPr>
            <w:tcW w:w="4920" w:type="dxa"/>
            <w:vAlign w:val="bottom"/>
          </w:tcPr>
          <w:p>
            <w:pPr>
              <w:ind w:left="20"/>
              <w:spacing w:after="0"/>
              <w:rPr>
                <w:sz w:val="20"/>
                <w:szCs w:val="20"/>
                <w:color w:val="auto"/>
              </w:rPr>
            </w:pPr>
            <w:r>
              <w:rPr>
                <w:rFonts w:ascii="Arial" w:cs="Arial" w:eastAsia="Arial" w:hAnsi="Arial"/>
                <w:sz w:val="15"/>
                <w:szCs w:val="15"/>
                <w:b w:val="1"/>
                <w:bCs w:val="1"/>
                <w:color w:val="auto"/>
              </w:rPr>
              <w:t>Cash flows from financing activities:</w:t>
            </w: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03"/>
        </w:trPr>
        <w:tc>
          <w:tcPr>
            <w:tcW w:w="4920" w:type="dxa"/>
            <w:vAlign w:val="bottom"/>
            <w:shd w:val="clear" w:color="auto" w:fill="DBDBDB"/>
          </w:tcPr>
          <w:p>
            <w:pPr>
              <w:ind w:left="240"/>
              <w:spacing w:after="0"/>
              <w:rPr>
                <w:sz w:val="20"/>
                <w:szCs w:val="20"/>
                <w:color w:val="auto"/>
              </w:rPr>
            </w:pPr>
            <w:r>
              <w:rPr>
                <w:rFonts w:ascii="Arial" w:cs="Arial" w:eastAsia="Arial" w:hAnsi="Arial"/>
                <w:sz w:val="15"/>
                <w:szCs w:val="15"/>
                <w:color w:val="auto"/>
              </w:rPr>
              <w:t>Proceeds from Credit Facility</w:t>
            </w:r>
          </w:p>
        </w:tc>
        <w:tc>
          <w:tcPr>
            <w:tcW w:w="180" w:type="dxa"/>
            <w:vAlign w:val="bottom"/>
            <w:shd w:val="clear" w:color="auto" w:fill="DBDBDB"/>
          </w:tcPr>
          <w:p>
            <w:pPr>
              <w:spacing w:after="0"/>
              <w:rPr>
                <w:sz w:val="17"/>
                <w:szCs w:val="17"/>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1,513</w:t>
            </w:r>
          </w:p>
        </w:tc>
        <w:tc>
          <w:tcPr>
            <w:tcW w:w="100" w:type="dxa"/>
            <w:vAlign w:val="bottom"/>
            <w:shd w:val="clear" w:color="auto" w:fill="DBDBDB"/>
          </w:tcPr>
          <w:p>
            <w:pPr>
              <w:spacing w:after="0"/>
              <w:rPr>
                <w:sz w:val="17"/>
                <w:szCs w:val="17"/>
                <w:color w:val="auto"/>
              </w:rPr>
            </w:pPr>
          </w:p>
        </w:tc>
        <w:tc>
          <w:tcPr>
            <w:tcW w:w="340" w:type="dxa"/>
            <w:vAlign w:val="bottom"/>
            <w:shd w:val="clear" w:color="auto" w:fill="DBDBDB"/>
          </w:tcPr>
          <w:p>
            <w:pPr>
              <w:spacing w:after="0"/>
              <w:rPr>
                <w:sz w:val="17"/>
                <w:szCs w:val="17"/>
                <w:color w:val="auto"/>
              </w:rPr>
            </w:pPr>
          </w:p>
        </w:tc>
        <w:tc>
          <w:tcPr>
            <w:tcW w:w="124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shd w:val="clear" w:color="auto" w:fill="DBDBDB"/>
          </w:tcPr>
          <w:p>
            <w:pPr>
              <w:spacing w:after="0"/>
              <w:rPr>
                <w:sz w:val="17"/>
                <w:szCs w:val="17"/>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1,513</w:t>
            </w:r>
          </w:p>
        </w:tc>
        <w:tc>
          <w:tcPr>
            <w:tcW w:w="100" w:type="dxa"/>
            <w:vAlign w:val="bottom"/>
            <w:shd w:val="clear" w:color="auto" w:fill="DBDBDB"/>
          </w:tcPr>
          <w:p>
            <w:pPr>
              <w:spacing w:after="0"/>
              <w:rPr>
                <w:sz w:val="17"/>
                <w:szCs w:val="17"/>
                <w:color w:val="auto"/>
              </w:rPr>
            </w:pPr>
          </w:p>
        </w:tc>
        <w:tc>
          <w:tcPr>
            <w:tcW w:w="360" w:type="dxa"/>
            <w:vAlign w:val="bottom"/>
            <w:shd w:val="clear" w:color="auto" w:fill="DBDBDB"/>
          </w:tcPr>
          <w:p>
            <w:pPr>
              <w:spacing w:after="0"/>
              <w:rPr>
                <w:sz w:val="17"/>
                <w:szCs w:val="17"/>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825</w:t>
            </w:r>
          </w:p>
        </w:tc>
      </w:tr>
      <w:tr>
        <w:trPr>
          <w:trHeight w:val="201"/>
        </w:trPr>
        <w:tc>
          <w:tcPr>
            <w:tcW w:w="4920" w:type="dxa"/>
            <w:vAlign w:val="bottom"/>
          </w:tcPr>
          <w:p>
            <w:pPr>
              <w:ind w:left="240"/>
              <w:spacing w:after="0"/>
              <w:rPr>
                <w:sz w:val="20"/>
                <w:szCs w:val="20"/>
                <w:color w:val="auto"/>
              </w:rPr>
            </w:pPr>
            <w:r>
              <w:rPr>
                <w:rFonts w:ascii="Arial" w:cs="Arial" w:eastAsia="Arial" w:hAnsi="Arial"/>
                <w:sz w:val="15"/>
                <w:szCs w:val="15"/>
                <w:color w:val="auto"/>
              </w:rPr>
              <w:t>Payments on Credit Facility</w:t>
            </w: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(1,063)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(1,063)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(825)</w:t>
            </w:r>
          </w:p>
        </w:tc>
      </w:tr>
      <w:tr>
        <w:trPr>
          <w:trHeight w:val="204"/>
        </w:trPr>
        <w:tc>
          <w:tcPr>
            <w:tcW w:w="4920" w:type="dxa"/>
            <w:vAlign w:val="bottom"/>
            <w:shd w:val="clear" w:color="auto" w:fill="DBDBDB"/>
          </w:tcPr>
          <w:p>
            <w:pPr>
              <w:ind w:left="240"/>
              <w:spacing w:after="0"/>
              <w:rPr>
                <w:sz w:val="20"/>
                <w:szCs w:val="20"/>
                <w:color w:val="auto"/>
              </w:rPr>
            </w:pPr>
            <w:r>
              <w:rPr>
                <w:rFonts w:ascii="Arial" w:cs="Arial" w:eastAsia="Arial" w:hAnsi="Arial"/>
                <w:sz w:val="15"/>
                <w:szCs w:val="15"/>
                <w:color w:val="auto"/>
              </w:rPr>
              <w:t>Payments on Twin Eagle Credit Facility</w:t>
            </w:r>
          </w:p>
        </w:tc>
        <w:tc>
          <w:tcPr>
            <w:tcW w:w="180" w:type="dxa"/>
            <w:vAlign w:val="bottom"/>
            <w:shd w:val="clear" w:color="auto" w:fill="DBDBDB"/>
          </w:tcPr>
          <w:p>
            <w:pPr>
              <w:spacing w:after="0"/>
              <w:rPr>
                <w:sz w:val="17"/>
                <w:szCs w:val="17"/>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(141)</w:t>
            </w:r>
          </w:p>
        </w:tc>
        <w:tc>
          <w:tcPr>
            <w:tcW w:w="100" w:type="dxa"/>
            <w:vAlign w:val="bottom"/>
            <w:shd w:val="clear" w:color="auto" w:fill="DBDBDB"/>
          </w:tcPr>
          <w:p>
            <w:pPr>
              <w:spacing w:after="0"/>
              <w:rPr>
                <w:sz w:val="17"/>
                <w:szCs w:val="17"/>
                <w:color w:val="auto"/>
              </w:rPr>
            </w:pPr>
          </w:p>
        </w:tc>
        <w:tc>
          <w:tcPr>
            <w:tcW w:w="340" w:type="dxa"/>
            <w:vAlign w:val="bottom"/>
            <w:shd w:val="clear" w:color="auto" w:fill="DBDBDB"/>
          </w:tcPr>
          <w:p>
            <w:pPr>
              <w:spacing w:after="0"/>
              <w:rPr>
                <w:sz w:val="17"/>
                <w:szCs w:val="17"/>
                <w:color w:val="auto"/>
              </w:rPr>
            </w:pPr>
          </w:p>
        </w:tc>
        <w:tc>
          <w:tcPr>
            <w:tcW w:w="124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shd w:val="clear" w:color="auto" w:fill="DBDBDB"/>
          </w:tcPr>
          <w:p>
            <w:pPr>
              <w:spacing w:after="0"/>
              <w:rPr>
                <w:sz w:val="17"/>
                <w:szCs w:val="17"/>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(141)</w:t>
            </w:r>
          </w:p>
        </w:tc>
        <w:tc>
          <w:tcPr>
            <w:tcW w:w="100" w:type="dxa"/>
            <w:vAlign w:val="bottom"/>
            <w:shd w:val="clear" w:color="auto" w:fill="DBDBDB"/>
          </w:tcPr>
          <w:p>
            <w:pPr>
              <w:spacing w:after="0"/>
              <w:rPr>
                <w:sz w:val="17"/>
                <w:szCs w:val="17"/>
                <w:color w:val="auto"/>
              </w:rPr>
            </w:pPr>
          </w:p>
        </w:tc>
        <w:tc>
          <w:tcPr>
            <w:tcW w:w="360" w:type="dxa"/>
            <w:vAlign w:val="bottom"/>
            <w:shd w:val="clear" w:color="auto" w:fill="DBDBDB"/>
          </w:tcPr>
          <w:p>
            <w:pPr>
              <w:spacing w:after="0"/>
              <w:rPr>
                <w:sz w:val="17"/>
                <w:szCs w:val="17"/>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r>
      <w:tr>
        <w:trPr>
          <w:trHeight w:val="201"/>
        </w:trPr>
        <w:tc>
          <w:tcPr>
            <w:tcW w:w="4920" w:type="dxa"/>
            <w:vAlign w:val="bottom"/>
          </w:tcPr>
          <w:p>
            <w:pPr>
              <w:ind w:left="240"/>
              <w:spacing w:after="0"/>
              <w:rPr>
                <w:sz w:val="20"/>
                <w:szCs w:val="20"/>
                <w:color w:val="auto"/>
              </w:rPr>
            </w:pPr>
            <w:r>
              <w:rPr>
                <w:rFonts w:ascii="Arial" w:cs="Arial" w:eastAsia="Arial" w:hAnsi="Arial"/>
                <w:sz w:val="15"/>
                <w:szCs w:val="15"/>
                <w:color w:val="auto"/>
              </w:rPr>
              <w:t>Proceeds from issuance of senior notes, net</w:t>
            </w: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499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499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4"/>
        </w:trPr>
        <w:tc>
          <w:tcPr>
            <w:tcW w:w="4920" w:type="dxa"/>
            <w:vAlign w:val="bottom"/>
            <w:shd w:val="clear" w:color="auto" w:fill="DBDBDB"/>
          </w:tcPr>
          <w:p>
            <w:pPr>
              <w:ind w:left="240"/>
              <w:spacing w:after="0"/>
              <w:rPr>
                <w:sz w:val="20"/>
                <w:szCs w:val="20"/>
                <w:color w:val="auto"/>
              </w:rPr>
            </w:pPr>
            <w:r>
              <w:rPr>
                <w:rFonts w:ascii="Arial" w:cs="Arial" w:eastAsia="Arial" w:hAnsi="Arial"/>
                <w:sz w:val="15"/>
                <w:szCs w:val="15"/>
                <w:color w:val="auto"/>
              </w:rPr>
              <w:t>Proceeds from warrant exercise</w:t>
            </w:r>
          </w:p>
        </w:tc>
        <w:tc>
          <w:tcPr>
            <w:tcW w:w="180" w:type="dxa"/>
            <w:vAlign w:val="bottom"/>
            <w:shd w:val="clear" w:color="auto" w:fill="DBDBDB"/>
          </w:tcPr>
          <w:p>
            <w:pPr>
              <w:spacing w:after="0"/>
              <w:rPr>
                <w:sz w:val="17"/>
                <w:szCs w:val="17"/>
                <w:color w:val="auto"/>
              </w:rPr>
            </w:pPr>
          </w:p>
        </w:tc>
        <w:tc>
          <w:tcPr>
            <w:tcW w:w="142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340" w:type="dxa"/>
            <w:vAlign w:val="bottom"/>
            <w:shd w:val="clear" w:color="auto" w:fill="DBDBDB"/>
          </w:tcPr>
          <w:p>
            <w:pPr>
              <w:spacing w:after="0"/>
              <w:rPr>
                <w:sz w:val="17"/>
                <w:szCs w:val="17"/>
                <w:color w:val="auto"/>
              </w:rPr>
            </w:pPr>
          </w:p>
        </w:tc>
        <w:tc>
          <w:tcPr>
            <w:tcW w:w="124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shd w:val="clear" w:color="auto" w:fill="DBDBDB"/>
          </w:tcPr>
          <w:p>
            <w:pPr>
              <w:spacing w:after="0"/>
              <w:rPr>
                <w:sz w:val="17"/>
                <w:szCs w:val="17"/>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15</w:t>
            </w:r>
          </w:p>
        </w:tc>
        <w:tc>
          <w:tcPr>
            <w:tcW w:w="100" w:type="dxa"/>
            <w:vAlign w:val="bottom"/>
            <w:shd w:val="clear" w:color="auto" w:fill="DBDBDB"/>
          </w:tcPr>
          <w:p>
            <w:pPr>
              <w:spacing w:after="0"/>
              <w:rPr>
                <w:sz w:val="17"/>
                <w:szCs w:val="17"/>
                <w:color w:val="auto"/>
              </w:rPr>
            </w:pPr>
          </w:p>
        </w:tc>
        <w:tc>
          <w:tcPr>
            <w:tcW w:w="360" w:type="dxa"/>
            <w:vAlign w:val="bottom"/>
            <w:shd w:val="clear" w:color="auto" w:fill="DBDBDB"/>
          </w:tcPr>
          <w:p>
            <w:pPr>
              <w:spacing w:after="0"/>
              <w:rPr>
                <w:sz w:val="17"/>
                <w:szCs w:val="17"/>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22</w:t>
            </w:r>
          </w:p>
        </w:tc>
      </w:tr>
      <w:tr>
        <w:trPr>
          <w:trHeight w:val="201"/>
        </w:trPr>
        <w:tc>
          <w:tcPr>
            <w:tcW w:w="4920" w:type="dxa"/>
            <w:vAlign w:val="bottom"/>
          </w:tcPr>
          <w:p>
            <w:pPr>
              <w:ind w:left="240"/>
              <w:spacing w:after="0"/>
              <w:rPr>
                <w:sz w:val="20"/>
                <w:szCs w:val="20"/>
                <w:color w:val="auto"/>
              </w:rPr>
            </w:pPr>
            <w:r>
              <w:rPr>
                <w:rFonts w:ascii="Arial" w:cs="Arial" w:eastAsia="Arial" w:hAnsi="Arial"/>
                <w:sz w:val="15"/>
                <w:szCs w:val="15"/>
                <w:color w:val="auto"/>
              </w:rPr>
              <w:t>Debt issuance and other financing costs</w:t>
            </w: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(11)</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(11)</w:t>
            </w:r>
          </w:p>
        </w:tc>
      </w:tr>
      <w:tr>
        <w:trPr>
          <w:trHeight w:val="204"/>
        </w:trPr>
        <w:tc>
          <w:tcPr>
            <w:tcW w:w="4920" w:type="dxa"/>
            <w:vAlign w:val="bottom"/>
            <w:shd w:val="clear" w:color="auto" w:fill="DBDBDB"/>
          </w:tcPr>
          <w:p>
            <w:pPr>
              <w:ind w:left="240"/>
              <w:spacing w:after="0"/>
              <w:rPr>
                <w:sz w:val="20"/>
                <w:szCs w:val="20"/>
                <w:color w:val="auto"/>
              </w:rPr>
            </w:pPr>
            <w:r>
              <w:rPr>
                <w:rFonts w:ascii="Arial" w:cs="Arial" w:eastAsia="Arial" w:hAnsi="Arial"/>
                <w:sz w:val="15"/>
                <w:szCs w:val="15"/>
                <w:color w:val="auto"/>
              </w:rPr>
              <w:t>Cash paid to repurchase and retire common stock</w:t>
            </w:r>
          </w:p>
        </w:tc>
        <w:tc>
          <w:tcPr>
            <w:tcW w:w="180" w:type="dxa"/>
            <w:vAlign w:val="bottom"/>
            <w:shd w:val="clear" w:color="auto" w:fill="DBDBDB"/>
          </w:tcPr>
          <w:p>
            <w:pPr>
              <w:spacing w:after="0"/>
              <w:rPr>
                <w:sz w:val="17"/>
                <w:szCs w:val="17"/>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(320)</w:t>
            </w:r>
          </w:p>
        </w:tc>
        <w:tc>
          <w:tcPr>
            <w:tcW w:w="100" w:type="dxa"/>
            <w:vAlign w:val="bottom"/>
            <w:shd w:val="clear" w:color="auto" w:fill="DBDBDB"/>
          </w:tcPr>
          <w:p>
            <w:pPr>
              <w:spacing w:after="0"/>
              <w:rPr>
                <w:sz w:val="17"/>
                <w:szCs w:val="17"/>
                <w:color w:val="auto"/>
              </w:rPr>
            </w:pPr>
          </w:p>
        </w:tc>
        <w:tc>
          <w:tcPr>
            <w:tcW w:w="340" w:type="dxa"/>
            <w:vAlign w:val="bottom"/>
            <w:shd w:val="clear" w:color="auto" w:fill="DBDBDB"/>
          </w:tcPr>
          <w:p>
            <w:pPr>
              <w:spacing w:after="0"/>
              <w:rPr>
                <w:sz w:val="17"/>
                <w:szCs w:val="17"/>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w:t>
            </w:r>
          </w:p>
        </w:tc>
        <w:tc>
          <w:tcPr>
            <w:tcW w:w="8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(900)</w:t>
            </w:r>
          </w:p>
        </w:tc>
        <w:tc>
          <w:tcPr>
            <w:tcW w:w="100" w:type="dxa"/>
            <w:vAlign w:val="bottom"/>
            <w:shd w:val="clear" w:color="auto" w:fill="DBDBDB"/>
          </w:tcPr>
          <w:p>
            <w:pPr>
              <w:spacing w:after="0"/>
              <w:rPr>
                <w:sz w:val="17"/>
                <w:szCs w:val="17"/>
                <w:color w:val="auto"/>
              </w:rPr>
            </w:pPr>
          </w:p>
        </w:tc>
        <w:tc>
          <w:tcPr>
            <w:tcW w:w="360" w:type="dxa"/>
            <w:vAlign w:val="bottom"/>
            <w:shd w:val="clear" w:color="auto" w:fill="DBDBDB"/>
          </w:tcPr>
          <w:p>
            <w:pPr>
              <w:spacing w:after="0"/>
              <w:rPr>
                <w:sz w:val="17"/>
                <w:szCs w:val="17"/>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(100)</w:t>
            </w:r>
          </w:p>
        </w:tc>
      </w:tr>
      <w:tr>
        <w:trPr>
          <w:trHeight w:val="201"/>
        </w:trPr>
        <w:tc>
          <w:tcPr>
            <w:tcW w:w="4920" w:type="dxa"/>
            <w:vAlign w:val="bottom"/>
          </w:tcPr>
          <w:p>
            <w:pPr>
              <w:ind w:left="240"/>
              <w:spacing w:after="0"/>
              <w:rPr>
                <w:sz w:val="20"/>
                <w:szCs w:val="20"/>
                <w:color w:val="auto"/>
              </w:rPr>
            </w:pPr>
            <w:r>
              <w:rPr>
                <w:rFonts w:ascii="Arial" w:cs="Arial" w:eastAsia="Arial" w:hAnsi="Arial"/>
                <w:sz w:val="15"/>
                <w:szCs w:val="15"/>
                <w:color w:val="auto"/>
              </w:rPr>
              <w:t>Cash paid to purchase debt</w:t>
            </w:r>
          </w:p>
        </w:tc>
        <w:tc>
          <w:tcPr>
            <w:tcW w:w="180" w:type="dxa"/>
            <w:vAlign w:val="bottom"/>
          </w:tcPr>
          <w:p>
            <w:pPr>
              <w:spacing w:after="0"/>
              <w:rPr>
                <w:sz w:val="17"/>
                <w:szCs w:val="17"/>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(110)</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(1,287)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(663)</w:t>
            </w:r>
          </w:p>
        </w:tc>
      </w:tr>
      <w:tr>
        <w:trPr>
          <w:trHeight w:val="204"/>
        </w:trPr>
        <w:tc>
          <w:tcPr>
            <w:tcW w:w="4920" w:type="dxa"/>
            <w:vAlign w:val="bottom"/>
            <w:shd w:val="clear" w:color="auto" w:fill="DBDBDB"/>
          </w:tcPr>
          <w:p>
            <w:pPr>
              <w:ind w:left="240"/>
              <w:spacing w:after="0"/>
              <w:rPr>
                <w:sz w:val="20"/>
                <w:szCs w:val="20"/>
                <w:color w:val="auto"/>
              </w:rPr>
            </w:pPr>
            <w:r>
              <w:rPr>
                <w:rFonts w:ascii="Arial" w:cs="Arial" w:eastAsia="Arial" w:hAnsi="Arial"/>
                <w:sz w:val="15"/>
                <w:szCs w:val="15"/>
                <w:color w:val="auto"/>
              </w:rPr>
              <w:t>Cash paid for common stock dividends</w:t>
            </w:r>
          </w:p>
        </w:tc>
        <w:tc>
          <w:tcPr>
            <w:tcW w:w="180" w:type="dxa"/>
            <w:vAlign w:val="bottom"/>
            <w:shd w:val="clear" w:color="auto" w:fill="DBDBDB"/>
          </w:tcPr>
          <w:p>
            <w:pPr>
              <w:spacing w:after="0"/>
              <w:rPr>
                <w:sz w:val="17"/>
                <w:szCs w:val="17"/>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(132)</w:t>
            </w:r>
          </w:p>
        </w:tc>
        <w:tc>
          <w:tcPr>
            <w:tcW w:w="100" w:type="dxa"/>
            <w:vAlign w:val="bottom"/>
            <w:shd w:val="clear" w:color="auto" w:fill="DBDBDB"/>
          </w:tcPr>
          <w:p>
            <w:pPr>
              <w:spacing w:after="0"/>
              <w:rPr>
                <w:sz w:val="17"/>
                <w:szCs w:val="17"/>
                <w:color w:val="auto"/>
              </w:rPr>
            </w:pPr>
          </w:p>
        </w:tc>
        <w:tc>
          <w:tcPr>
            <w:tcW w:w="340" w:type="dxa"/>
            <w:vAlign w:val="bottom"/>
            <w:shd w:val="clear" w:color="auto" w:fill="DBDBDB"/>
          </w:tcPr>
          <w:p>
            <w:pPr>
              <w:spacing w:after="0"/>
              <w:rPr>
                <w:sz w:val="17"/>
                <w:szCs w:val="17"/>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(349)</w:t>
            </w:r>
          </w:p>
        </w:tc>
        <w:tc>
          <w:tcPr>
            <w:tcW w:w="8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(411)</w:t>
            </w:r>
          </w:p>
        </w:tc>
        <w:tc>
          <w:tcPr>
            <w:tcW w:w="100" w:type="dxa"/>
            <w:vAlign w:val="bottom"/>
            <w:shd w:val="clear" w:color="auto" w:fill="DBDBDB"/>
          </w:tcPr>
          <w:p>
            <w:pPr>
              <w:spacing w:after="0"/>
              <w:rPr>
                <w:sz w:val="17"/>
                <w:szCs w:val="17"/>
                <w:color w:val="auto"/>
              </w:rPr>
            </w:pPr>
          </w:p>
        </w:tc>
        <w:tc>
          <w:tcPr>
            <w:tcW w:w="360" w:type="dxa"/>
            <w:vAlign w:val="bottom"/>
            <w:shd w:val="clear" w:color="auto" w:fill="DBDBDB"/>
          </w:tcPr>
          <w:p>
            <w:pPr>
              <w:spacing w:after="0"/>
              <w:rPr>
                <w:sz w:val="17"/>
                <w:szCs w:val="17"/>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(628)</w:t>
            </w:r>
          </w:p>
        </w:tc>
      </w:tr>
      <w:tr>
        <w:trPr>
          <w:trHeight w:val="201"/>
        </w:trPr>
        <w:tc>
          <w:tcPr>
            <w:tcW w:w="4920" w:type="dxa"/>
            <w:vAlign w:val="bottom"/>
          </w:tcPr>
          <w:p>
            <w:pPr>
              <w:ind w:left="240"/>
              <w:spacing w:after="0"/>
              <w:rPr>
                <w:sz w:val="20"/>
                <w:szCs w:val="20"/>
                <w:color w:val="auto"/>
              </w:rPr>
            </w:pPr>
            <w:r>
              <w:rPr>
                <w:rFonts w:ascii="Arial" w:cs="Arial" w:eastAsia="Arial" w:hAnsi="Arial"/>
                <w:sz w:val="15"/>
                <w:szCs w:val="15"/>
                <w:color w:val="auto"/>
              </w:rPr>
              <w:t>Proceeds from accounts receivable financing</w:t>
            </w: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86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86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97"/>
        </w:trPr>
        <w:tc>
          <w:tcPr>
            <w:tcW w:w="4920" w:type="dxa"/>
            <w:vAlign w:val="bottom"/>
            <w:tcBorders>
              <w:top w:val="single" w:sz="8" w:color="DBDBDB"/>
            </w:tcBorders>
            <w:shd w:val="clear" w:color="auto" w:fill="DBDBDB"/>
          </w:tcPr>
          <w:p>
            <w:pPr>
              <w:ind w:left="360"/>
              <w:spacing w:after="0"/>
              <w:rPr>
                <w:sz w:val="20"/>
                <w:szCs w:val="20"/>
                <w:color w:val="auto"/>
              </w:rPr>
            </w:pPr>
            <w:r>
              <w:rPr>
                <w:rFonts w:ascii="Arial" w:cs="Arial" w:eastAsia="Arial" w:hAnsi="Arial"/>
                <w:sz w:val="15"/>
                <w:szCs w:val="15"/>
                <w:color w:val="auto"/>
              </w:rPr>
              <w:t>Net cash provided by (used in) financing activities</w:t>
            </w:r>
          </w:p>
        </w:tc>
        <w:tc>
          <w:tcPr>
            <w:tcW w:w="180" w:type="dxa"/>
            <w:vAlign w:val="bottom"/>
            <w:tcBorders>
              <w:top w:val="single" w:sz="8" w:color="auto"/>
              <w:bottom w:val="single" w:sz="8" w:color="auto"/>
            </w:tcBorders>
            <w:shd w:val="clear" w:color="auto" w:fill="DBDBDB"/>
          </w:tcPr>
          <w:p>
            <w:pPr>
              <w:spacing w:after="0"/>
              <w:rPr>
                <w:sz w:val="17"/>
                <w:szCs w:val="17"/>
                <w:color w:val="auto"/>
              </w:rPr>
            </w:pPr>
          </w:p>
        </w:tc>
        <w:tc>
          <w:tcPr>
            <w:tcW w:w="13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438</w:t>
            </w:r>
          </w:p>
        </w:tc>
        <w:tc>
          <w:tcPr>
            <w:tcW w:w="100" w:type="dxa"/>
            <w:vAlign w:val="bottom"/>
            <w:tcBorders>
              <w:top w:val="single" w:sz="8" w:color="DBDBDB"/>
            </w:tcBorders>
            <w:shd w:val="clear" w:color="auto" w:fill="DBDBDB"/>
          </w:tcPr>
          <w:p>
            <w:pPr>
              <w:spacing w:after="0"/>
              <w:rPr>
                <w:sz w:val="17"/>
                <w:szCs w:val="17"/>
                <w:color w:val="auto"/>
              </w:rPr>
            </w:pPr>
          </w:p>
        </w:tc>
        <w:tc>
          <w:tcPr>
            <w:tcW w:w="340" w:type="dxa"/>
            <w:vAlign w:val="bottom"/>
            <w:tcBorders>
              <w:top w:val="single" w:sz="8" w:color="auto"/>
              <w:bottom w:val="single" w:sz="8" w:color="auto"/>
            </w:tcBorders>
            <w:shd w:val="clear" w:color="auto" w:fill="DBDBDB"/>
          </w:tcPr>
          <w:p>
            <w:pPr>
              <w:spacing w:after="0"/>
              <w:rPr>
                <w:sz w:val="17"/>
                <w:szCs w:val="17"/>
                <w:color w:val="auto"/>
              </w:rPr>
            </w:pPr>
          </w:p>
        </w:tc>
        <w:tc>
          <w:tcPr>
            <w:tcW w:w="11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(471)</w:t>
            </w:r>
          </w:p>
        </w:tc>
        <w:tc>
          <w:tcPr>
            <w:tcW w:w="80" w:type="dxa"/>
            <w:vAlign w:val="bottom"/>
            <w:tcBorders>
              <w:top w:val="single" w:sz="8" w:color="DBDBDB"/>
            </w:tcBorders>
            <w:shd w:val="clear" w:color="auto" w:fill="DBDBDB"/>
          </w:tcPr>
          <w:p>
            <w:pPr>
              <w:spacing w:after="0"/>
              <w:rPr>
                <w:sz w:val="17"/>
                <w:szCs w:val="17"/>
                <w:color w:val="auto"/>
              </w:rPr>
            </w:pPr>
          </w:p>
        </w:tc>
        <w:tc>
          <w:tcPr>
            <w:tcW w:w="220" w:type="dxa"/>
            <w:vAlign w:val="bottom"/>
            <w:tcBorders>
              <w:top w:val="single" w:sz="8" w:color="auto"/>
              <w:bottom w:val="single" w:sz="8" w:color="auto"/>
            </w:tcBorders>
            <w:shd w:val="clear" w:color="auto" w:fill="DBDBDB"/>
          </w:tcPr>
          <w:p>
            <w:pPr>
              <w:spacing w:after="0"/>
              <w:rPr>
                <w:sz w:val="17"/>
                <w:szCs w:val="17"/>
                <w:color w:val="auto"/>
              </w:rPr>
            </w:pPr>
          </w:p>
        </w:tc>
        <w:tc>
          <w:tcPr>
            <w:tcW w:w="13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(1,693)</w:t>
            </w:r>
          </w:p>
        </w:tc>
        <w:tc>
          <w:tcPr>
            <w:tcW w:w="100" w:type="dxa"/>
            <w:vAlign w:val="bottom"/>
            <w:tcBorders>
              <w:top w:val="single" w:sz="8" w:color="DBDBDB"/>
            </w:tcBorders>
            <w:shd w:val="clear" w:color="auto" w:fill="DBDBDB"/>
          </w:tcPr>
          <w:p>
            <w:pPr>
              <w:spacing w:after="0"/>
              <w:rPr>
                <w:sz w:val="17"/>
                <w:szCs w:val="17"/>
                <w:color w:val="auto"/>
              </w:rPr>
            </w:pPr>
          </w:p>
        </w:tc>
        <w:tc>
          <w:tcPr>
            <w:tcW w:w="360" w:type="dxa"/>
            <w:vAlign w:val="bottom"/>
            <w:tcBorders>
              <w:top w:val="single" w:sz="8" w:color="auto"/>
              <w:bottom w:val="single" w:sz="8" w:color="auto"/>
            </w:tcBorders>
            <w:shd w:val="clear" w:color="auto" w:fill="DBDBDB"/>
          </w:tcPr>
          <w:p>
            <w:pPr>
              <w:spacing w:after="0"/>
              <w:rPr>
                <w:sz w:val="17"/>
                <w:szCs w:val="17"/>
                <w:color w:val="auto"/>
              </w:rPr>
            </w:pPr>
          </w:p>
        </w:tc>
        <w:tc>
          <w:tcPr>
            <w:tcW w:w="11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(1,380)</w:t>
            </w:r>
          </w:p>
        </w:tc>
      </w:tr>
      <w:tr>
        <w:trPr>
          <w:trHeight w:val="195"/>
        </w:trPr>
        <w:tc>
          <w:tcPr>
            <w:tcW w:w="4920" w:type="dxa"/>
            <w:vAlign w:val="bottom"/>
          </w:tcPr>
          <w:p>
            <w:pPr>
              <w:ind w:left="20"/>
              <w:spacing w:after="0"/>
              <w:rPr>
                <w:sz w:val="20"/>
                <w:szCs w:val="20"/>
                <w:color w:val="auto"/>
              </w:rPr>
            </w:pPr>
            <w:r>
              <w:rPr>
                <w:rFonts w:ascii="Arial" w:cs="Arial" w:eastAsia="Arial" w:hAnsi="Arial"/>
                <w:sz w:val="15"/>
                <w:szCs w:val="15"/>
                <w:color w:val="auto"/>
              </w:rPr>
              <w:t>Net increase (decrease) in cash, cash equivalents and restricted cash</w:t>
            </w: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(543)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(115)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(475)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296</w:t>
            </w:r>
          </w:p>
        </w:tc>
      </w:tr>
      <w:tr>
        <w:trPr>
          <w:trHeight w:val="203"/>
        </w:trPr>
        <w:tc>
          <w:tcPr>
            <w:tcW w:w="4920" w:type="dxa"/>
            <w:vAlign w:val="bottom"/>
            <w:shd w:val="clear" w:color="auto" w:fill="DBDBDB"/>
          </w:tcPr>
          <w:p>
            <w:pPr>
              <w:ind w:left="20"/>
              <w:spacing w:after="0"/>
              <w:rPr>
                <w:sz w:val="20"/>
                <w:szCs w:val="20"/>
                <w:color w:val="auto"/>
              </w:rPr>
            </w:pPr>
            <w:r>
              <w:rPr>
                <w:rFonts w:ascii="Arial" w:cs="Arial" w:eastAsia="Arial" w:hAnsi="Arial"/>
                <w:sz w:val="15"/>
                <w:szCs w:val="15"/>
                <w:color w:val="auto"/>
              </w:rPr>
              <w:t>Cash, cash equivalents and restricted cash, beginning of period</w:t>
            </w:r>
          </w:p>
        </w:tc>
        <w:tc>
          <w:tcPr>
            <w:tcW w:w="180" w:type="dxa"/>
            <w:vAlign w:val="bottom"/>
            <w:tcBorders>
              <w:bottom w:val="single" w:sz="8" w:color="auto"/>
            </w:tcBorders>
            <w:shd w:val="clear" w:color="auto" w:fill="DBDBDB"/>
          </w:tcPr>
          <w:p>
            <w:pPr>
              <w:spacing w:after="0"/>
              <w:rPr>
                <w:sz w:val="17"/>
                <w:szCs w:val="17"/>
                <w:color w:val="auto"/>
              </w:rPr>
            </w:pPr>
          </w:p>
        </w:tc>
        <w:tc>
          <w:tcPr>
            <w:tcW w:w="1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764</w:t>
            </w:r>
          </w:p>
        </w:tc>
        <w:tc>
          <w:tcPr>
            <w:tcW w:w="100" w:type="dxa"/>
            <w:vAlign w:val="bottom"/>
            <w:shd w:val="clear" w:color="auto" w:fill="DBDBDB"/>
          </w:tcPr>
          <w:p>
            <w:pPr>
              <w:spacing w:after="0"/>
              <w:rPr>
                <w:sz w:val="17"/>
                <w:szCs w:val="17"/>
                <w:color w:val="auto"/>
              </w:rPr>
            </w:pPr>
          </w:p>
        </w:tc>
        <w:tc>
          <w:tcPr>
            <w:tcW w:w="340" w:type="dxa"/>
            <w:vAlign w:val="bottom"/>
            <w:tcBorders>
              <w:bottom w:val="single" w:sz="8" w:color="auto"/>
            </w:tcBorders>
            <w:shd w:val="clear" w:color="auto" w:fill="DBDBDB"/>
          </w:tcPr>
          <w:p>
            <w:pPr>
              <w:spacing w:after="0"/>
              <w:rPr>
                <w:sz w:val="17"/>
                <w:szCs w:val="17"/>
                <w:color w:val="auto"/>
              </w:rPr>
            </w:pPr>
          </w:p>
        </w:tc>
        <w:tc>
          <w:tcPr>
            <w:tcW w:w="1160" w:type="dxa"/>
            <w:vAlign w:val="bottom"/>
            <w:tcBorders>
              <w:bottom w:val="single" w:sz="8" w:color="auto"/>
            </w:tcBorders>
            <w:shd w:val="clear" w:color="auto" w:fill="DBDBDB"/>
          </w:tcPr>
          <w:p>
            <w:pPr>
              <w:jc w:val="right"/>
              <w:ind w:right="4"/>
              <w:spacing w:after="0"/>
              <w:rPr>
                <w:sz w:val="20"/>
                <w:szCs w:val="20"/>
                <w:color w:val="auto"/>
              </w:rPr>
            </w:pPr>
            <w:r>
              <w:rPr>
                <w:rFonts w:ascii="Arial" w:cs="Arial" w:eastAsia="Arial" w:hAnsi="Arial"/>
                <w:sz w:val="15"/>
                <w:szCs w:val="15"/>
                <w:color w:val="auto"/>
              </w:rPr>
              <w:t>806</w:t>
            </w:r>
          </w:p>
        </w:tc>
        <w:tc>
          <w:tcPr>
            <w:tcW w:w="80" w:type="dxa"/>
            <w:vAlign w:val="bottom"/>
            <w:shd w:val="clear" w:color="auto" w:fill="DBDBDB"/>
          </w:tcPr>
          <w:p>
            <w:pPr>
              <w:spacing w:after="0"/>
              <w:rPr>
                <w:sz w:val="17"/>
                <w:szCs w:val="17"/>
                <w:color w:val="auto"/>
              </w:rPr>
            </w:pPr>
          </w:p>
        </w:tc>
        <w:tc>
          <w:tcPr>
            <w:tcW w:w="220" w:type="dxa"/>
            <w:vAlign w:val="bottom"/>
            <w:tcBorders>
              <w:bottom w:val="single" w:sz="8" w:color="auto"/>
            </w:tcBorders>
            <w:shd w:val="clear" w:color="auto" w:fill="DBDBDB"/>
          </w:tcPr>
          <w:p>
            <w:pPr>
              <w:spacing w:after="0"/>
              <w:rPr>
                <w:sz w:val="17"/>
                <w:szCs w:val="17"/>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696</w:t>
            </w:r>
          </w:p>
        </w:tc>
        <w:tc>
          <w:tcPr>
            <w:tcW w:w="100" w:type="dxa"/>
            <w:vAlign w:val="bottom"/>
            <w:shd w:val="clear" w:color="auto" w:fill="DBDBDB"/>
          </w:tcPr>
          <w:p>
            <w:pPr>
              <w:spacing w:after="0"/>
              <w:rPr>
                <w:sz w:val="17"/>
                <w:szCs w:val="17"/>
                <w:color w:val="auto"/>
              </w:rPr>
            </w:pPr>
          </w:p>
        </w:tc>
        <w:tc>
          <w:tcPr>
            <w:tcW w:w="360" w:type="dxa"/>
            <w:vAlign w:val="bottom"/>
            <w:tcBorders>
              <w:bottom w:val="single" w:sz="8" w:color="auto"/>
            </w:tcBorders>
            <w:shd w:val="clear" w:color="auto" w:fill="DBDBDB"/>
          </w:tcPr>
          <w:p>
            <w:pPr>
              <w:spacing w:after="0"/>
              <w:rPr>
                <w:sz w:val="17"/>
                <w:szCs w:val="17"/>
                <w:color w:val="auto"/>
              </w:rPr>
            </w:pP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395</w:t>
            </w:r>
          </w:p>
        </w:tc>
      </w:tr>
      <w:tr>
        <w:trPr>
          <w:trHeight w:val="197"/>
        </w:trPr>
        <w:tc>
          <w:tcPr>
            <w:tcW w:w="4920" w:type="dxa"/>
            <w:vAlign w:val="bottom"/>
          </w:tcPr>
          <w:p>
            <w:pPr>
              <w:ind w:left="20"/>
              <w:spacing w:after="0"/>
              <w:rPr>
                <w:sz w:val="20"/>
                <w:szCs w:val="20"/>
                <w:color w:val="auto"/>
              </w:rPr>
            </w:pPr>
            <w:r>
              <w:rPr>
                <w:rFonts w:ascii="Arial" w:cs="Arial" w:eastAsia="Arial" w:hAnsi="Arial"/>
                <w:sz w:val="15"/>
                <w:szCs w:val="15"/>
                <w:color w:val="auto"/>
              </w:rPr>
              <w:t>Cash, cash equivalents and restricted cash, end of period</w:t>
            </w:r>
          </w:p>
        </w:tc>
        <w:tc>
          <w:tcPr>
            <w:tcW w:w="1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95"/>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221</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691</w:t>
            </w:r>
          </w:p>
        </w:tc>
        <w:tc>
          <w:tcPr>
            <w:tcW w:w="80" w:type="dxa"/>
            <w:vAlign w:val="bottom"/>
          </w:tcPr>
          <w:p>
            <w:pPr>
              <w:spacing w:after="0"/>
              <w:rPr>
                <w:sz w:val="17"/>
                <w:szCs w:val="17"/>
                <w:color w:val="auto"/>
              </w:rPr>
            </w:pPr>
          </w:p>
        </w:tc>
        <w:tc>
          <w:tcPr>
            <w:tcW w:w="22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221</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691</w:t>
            </w:r>
          </w:p>
        </w:tc>
      </w:tr>
      <w:tr>
        <w:trPr>
          <w:trHeight w:val="21"/>
        </w:trPr>
        <w:tc>
          <w:tcPr>
            <w:tcW w:w="4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61"/>
        </w:trPr>
        <w:tc>
          <w:tcPr>
            <w:tcW w:w="49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60" w:type="dxa"/>
            <w:vAlign w:val="bottom"/>
          </w:tcPr>
          <w:p>
            <w:pPr>
              <w:spacing w:after="0"/>
              <w:rPr>
                <w:sz w:val="5"/>
                <w:szCs w:val="5"/>
                <w:color w:val="auto"/>
              </w:rPr>
            </w:pPr>
          </w:p>
        </w:tc>
      </w:tr>
      <w:tr>
        <w:trPr>
          <w:trHeight w:val="203"/>
        </w:trPr>
        <w:tc>
          <w:tcPr>
            <w:tcW w:w="4920" w:type="dxa"/>
            <w:vAlign w:val="bottom"/>
            <w:shd w:val="clear" w:color="auto" w:fill="DBDBDB"/>
          </w:tcPr>
          <w:p>
            <w:pPr>
              <w:ind w:left="20"/>
              <w:spacing w:after="0"/>
              <w:rPr>
                <w:sz w:val="20"/>
                <w:szCs w:val="20"/>
                <w:color w:val="auto"/>
              </w:rPr>
            </w:pPr>
            <w:r>
              <w:rPr>
                <w:rFonts w:ascii="Arial" w:cs="Arial" w:eastAsia="Arial" w:hAnsi="Arial"/>
                <w:sz w:val="15"/>
                <w:szCs w:val="15"/>
                <w:color w:val="auto"/>
              </w:rPr>
              <w:t>Cash and cash equivalents</w:t>
            </w:r>
          </w:p>
        </w:tc>
        <w:tc>
          <w:tcPr>
            <w:tcW w:w="180" w:type="dxa"/>
            <w:vAlign w:val="bottom"/>
            <w:shd w:val="clear" w:color="auto" w:fill="DBDBDB"/>
          </w:tcPr>
          <w:p>
            <w:pPr>
              <w:jc w:val="right"/>
              <w:ind w:right="4"/>
              <w:spacing w:after="0"/>
              <w:rPr>
                <w:sz w:val="20"/>
                <w:szCs w:val="20"/>
                <w:color w:val="auto"/>
              </w:rPr>
            </w:pPr>
            <w:r>
              <w:rPr>
                <w:rFonts w:ascii="Arial" w:cs="Arial" w:eastAsia="Arial" w:hAnsi="Arial"/>
                <w:sz w:val="15"/>
                <w:szCs w:val="15"/>
                <w:color w:val="auto"/>
                <w:w w:val="95"/>
              </w:rPr>
              <w:t>$</w:t>
            </w:r>
          </w:p>
        </w:tc>
        <w:tc>
          <w:tcPr>
            <w:tcW w:w="1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118</w:t>
            </w:r>
          </w:p>
        </w:tc>
        <w:tc>
          <w:tcPr>
            <w:tcW w:w="100" w:type="dxa"/>
            <w:vAlign w:val="bottom"/>
            <w:shd w:val="clear" w:color="auto" w:fill="DBDBDB"/>
          </w:tcPr>
          <w:p>
            <w:pPr>
              <w:spacing w:after="0"/>
              <w:rPr>
                <w:sz w:val="17"/>
                <w:szCs w:val="17"/>
                <w:color w:val="auto"/>
              </w:rPr>
            </w:pPr>
          </w:p>
        </w:tc>
        <w:tc>
          <w:tcPr>
            <w:tcW w:w="340" w:type="dxa"/>
            <w:vAlign w:val="bottom"/>
            <w:shd w:val="clear" w:color="auto" w:fill="DBDBDB"/>
          </w:tcPr>
          <w:p>
            <w:pPr>
              <w:jc w:val="right"/>
              <w:ind w:right="164"/>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DBDBDB"/>
          </w:tcPr>
          <w:p>
            <w:pPr>
              <w:jc w:val="right"/>
              <w:ind w:right="4"/>
              <w:spacing w:after="0"/>
              <w:rPr>
                <w:sz w:val="20"/>
                <w:szCs w:val="20"/>
                <w:color w:val="auto"/>
              </w:rPr>
            </w:pPr>
            <w:r>
              <w:rPr>
                <w:rFonts w:ascii="Arial" w:cs="Arial" w:eastAsia="Arial" w:hAnsi="Arial"/>
                <w:sz w:val="15"/>
                <w:szCs w:val="15"/>
                <w:color w:val="auto"/>
              </w:rPr>
              <w:t>613</w:t>
            </w:r>
          </w:p>
        </w:tc>
        <w:tc>
          <w:tcPr>
            <w:tcW w:w="80" w:type="dxa"/>
            <w:vAlign w:val="bottom"/>
            <w:shd w:val="clear" w:color="auto" w:fill="DBDBDB"/>
          </w:tcPr>
          <w:p>
            <w:pPr>
              <w:spacing w:after="0"/>
              <w:rPr>
                <w:sz w:val="17"/>
                <w:szCs w:val="17"/>
                <w:color w:val="auto"/>
              </w:rPr>
            </w:pPr>
          </w:p>
        </w:tc>
        <w:tc>
          <w:tcPr>
            <w:tcW w:w="220" w:type="dxa"/>
            <w:vAlign w:val="bottom"/>
            <w:shd w:val="clear" w:color="auto" w:fill="DBDBDB"/>
          </w:tcPr>
          <w:p>
            <w:pPr>
              <w:jc w:val="right"/>
              <w:ind w:right="24"/>
              <w:spacing w:after="0"/>
              <w:rPr>
                <w:sz w:val="20"/>
                <w:szCs w:val="20"/>
                <w:color w:val="auto"/>
              </w:rPr>
            </w:pPr>
            <w:r>
              <w:rPr>
                <w:rFonts w:ascii="Arial" w:cs="Arial" w:eastAsia="Arial" w:hAnsi="Arial"/>
                <w:sz w:val="15"/>
                <w:szCs w:val="15"/>
                <w:color w:val="auto"/>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118</w:t>
            </w:r>
          </w:p>
        </w:tc>
        <w:tc>
          <w:tcPr>
            <w:tcW w:w="100" w:type="dxa"/>
            <w:vAlign w:val="bottom"/>
            <w:shd w:val="clear" w:color="auto" w:fill="DBDBDB"/>
          </w:tcPr>
          <w:p>
            <w:pPr>
              <w:spacing w:after="0"/>
              <w:rPr>
                <w:sz w:val="17"/>
                <w:szCs w:val="17"/>
                <w:color w:val="auto"/>
              </w:rPr>
            </w:pPr>
          </w:p>
        </w:tc>
        <w:tc>
          <w:tcPr>
            <w:tcW w:w="360" w:type="dxa"/>
            <w:vAlign w:val="bottom"/>
            <w:shd w:val="clear" w:color="auto" w:fill="DBDBDB"/>
          </w:tcPr>
          <w:p>
            <w:pPr>
              <w:jc w:val="right"/>
              <w:ind w:right="164"/>
              <w:spacing w:after="0"/>
              <w:rPr>
                <w:sz w:val="20"/>
                <w:szCs w:val="20"/>
                <w:color w:val="auto"/>
              </w:rPr>
            </w:pPr>
            <w:r>
              <w:rPr>
                <w:rFonts w:ascii="Arial" w:cs="Arial" w:eastAsia="Arial" w:hAnsi="Arial"/>
                <w:sz w:val="15"/>
                <w:szCs w:val="15"/>
                <w:color w:val="auto"/>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613</w:t>
            </w:r>
          </w:p>
        </w:tc>
      </w:tr>
      <w:tr>
        <w:trPr>
          <w:trHeight w:val="201"/>
        </w:trPr>
        <w:tc>
          <w:tcPr>
            <w:tcW w:w="4920" w:type="dxa"/>
            <w:vAlign w:val="bottom"/>
            <w:tcBorders>
              <w:bottom w:val="single" w:sz="8" w:color="DBDBDB"/>
            </w:tcBorders>
          </w:tcPr>
          <w:p>
            <w:pPr>
              <w:ind w:left="20"/>
              <w:spacing w:after="0"/>
              <w:rPr>
                <w:sz w:val="20"/>
                <w:szCs w:val="20"/>
                <w:color w:val="auto"/>
              </w:rPr>
            </w:pPr>
            <w:r>
              <w:rPr>
                <w:rFonts w:ascii="Arial" w:cs="Arial" w:eastAsia="Arial" w:hAnsi="Arial"/>
                <w:sz w:val="15"/>
                <w:szCs w:val="15"/>
                <w:color w:val="auto"/>
              </w:rPr>
              <w:t>Restricted cash</w:t>
            </w: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103</w:t>
            </w:r>
          </w:p>
        </w:tc>
        <w:tc>
          <w:tcPr>
            <w:tcW w:w="100" w:type="dxa"/>
            <w:vAlign w:val="bottom"/>
            <w:tcBorders>
              <w:bottom w:val="single" w:sz="8" w:color="DBDBDB"/>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78</w:t>
            </w:r>
          </w:p>
        </w:tc>
        <w:tc>
          <w:tcPr>
            <w:tcW w:w="80" w:type="dxa"/>
            <w:vAlign w:val="bottom"/>
            <w:tcBorders>
              <w:bottom w:val="single" w:sz="8" w:color="DBDBDB"/>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103</w:t>
            </w:r>
          </w:p>
        </w:tc>
        <w:tc>
          <w:tcPr>
            <w:tcW w:w="100" w:type="dxa"/>
            <w:vAlign w:val="bottom"/>
            <w:tcBorders>
              <w:bottom w:val="single" w:sz="8" w:color="DBDBDB"/>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78</w:t>
            </w:r>
          </w:p>
        </w:tc>
      </w:tr>
      <w:tr>
        <w:trPr>
          <w:trHeight w:val="222"/>
        </w:trPr>
        <w:tc>
          <w:tcPr>
            <w:tcW w:w="49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Total cash, cash equivalents and restricted cash</w:t>
            </w:r>
          </w:p>
        </w:tc>
        <w:tc>
          <w:tcPr>
            <w:tcW w:w="180" w:type="dxa"/>
            <w:vAlign w:val="bottom"/>
            <w:tcBorders>
              <w:bottom w:val="single" w:sz="8" w:color="auto"/>
            </w:tcBorders>
            <w:shd w:val="clear" w:color="auto" w:fill="DBDBDB"/>
          </w:tcPr>
          <w:p>
            <w:pPr>
              <w:jc w:val="right"/>
              <w:ind w:right="4"/>
              <w:spacing w:after="0"/>
              <w:rPr>
                <w:sz w:val="20"/>
                <w:szCs w:val="20"/>
                <w:color w:val="auto"/>
              </w:rPr>
            </w:pPr>
            <w:r>
              <w:rPr>
                <w:rFonts w:ascii="Arial" w:cs="Arial" w:eastAsia="Arial" w:hAnsi="Arial"/>
                <w:sz w:val="15"/>
                <w:szCs w:val="15"/>
                <w:color w:val="auto"/>
                <w:w w:val="95"/>
              </w:rPr>
              <w:t>$</w:t>
            </w:r>
          </w:p>
        </w:tc>
        <w:tc>
          <w:tcPr>
            <w:tcW w:w="1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221</w:t>
            </w:r>
          </w:p>
        </w:tc>
        <w:tc>
          <w:tcPr>
            <w:tcW w:w="100" w:type="dxa"/>
            <w:vAlign w:val="bottom"/>
            <w:tcBorders>
              <w:bottom w:val="single" w:sz="8" w:color="DBDBDB"/>
            </w:tcBorders>
            <w:shd w:val="clear" w:color="auto" w:fill="DBDBDB"/>
          </w:tcPr>
          <w:p>
            <w:pPr>
              <w:spacing w:after="0"/>
              <w:rPr>
                <w:sz w:val="18"/>
                <w:szCs w:val="18"/>
                <w:color w:val="auto"/>
              </w:rPr>
            </w:pPr>
          </w:p>
        </w:tc>
        <w:tc>
          <w:tcPr>
            <w:tcW w:w="340" w:type="dxa"/>
            <w:vAlign w:val="bottom"/>
            <w:tcBorders>
              <w:bottom w:val="single" w:sz="8" w:color="auto"/>
            </w:tcBorders>
            <w:shd w:val="clear" w:color="auto" w:fill="DBDBDB"/>
          </w:tcPr>
          <w:p>
            <w:pPr>
              <w:jc w:val="right"/>
              <w:ind w:right="164"/>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auto"/>
            </w:tcBorders>
            <w:shd w:val="clear" w:color="auto" w:fill="DBDBDB"/>
          </w:tcPr>
          <w:p>
            <w:pPr>
              <w:jc w:val="right"/>
              <w:ind w:right="4"/>
              <w:spacing w:after="0"/>
              <w:rPr>
                <w:sz w:val="20"/>
                <w:szCs w:val="20"/>
                <w:color w:val="auto"/>
              </w:rPr>
            </w:pPr>
            <w:r>
              <w:rPr>
                <w:rFonts w:ascii="Arial" w:cs="Arial" w:eastAsia="Arial" w:hAnsi="Arial"/>
                <w:sz w:val="15"/>
                <w:szCs w:val="15"/>
                <w:color w:val="auto"/>
              </w:rPr>
              <w:t>691</w:t>
            </w:r>
          </w:p>
        </w:tc>
        <w:tc>
          <w:tcPr>
            <w:tcW w:w="80" w:type="dxa"/>
            <w:vAlign w:val="bottom"/>
            <w:tcBorders>
              <w:bottom w:val="single" w:sz="8" w:color="DBDBDB"/>
            </w:tcBorders>
            <w:shd w:val="clear" w:color="auto" w:fill="DBDBDB"/>
          </w:tcPr>
          <w:p>
            <w:pPr>
              <w:spacing w:after="0"/>
              <w:rPr>
                <w:sz w:val="18"/>
                <w:szCs w:val="18"/>
                <w:color w:val="auto"/>
              </w:rPr>
            </w:pPr>
          </w:p>
        </w:tc>
        <w:tc>
          <w:tcPr>
            <w:tcW w:w="220" w:type="dxa"/>
            <w:vAlign w:val="bottom"/>
            <w:tcBorders>
              <w:bottom w:val="single" w:sz="8" w:color="auto"/>
            </w:tcBorders>
            <w:shd w:val="clear" w:color="auto" w:fill="DBDBDB"/>
          </w:tcPr>
          <w:p>
            <w:pPr>
              <w:jc w:val="right"/>
              <w:ind w:right="24"/>
              <w:spacing w:after="0"/>
              <w:rPr>
                <w:sz w:val="20"/>
                <w:szCs w:val="20"/>
                <w:color w:val="auto"/>
              </w:rPr>
            </w:pPr>
            <w:r>
              <w:rPr>
                <w:rFonts w:ascii="Arial" w:cs="Arial" w:eastAsia="Arial" w:hAnsi="Arial"/>
                <w:sz w:val="15"/>
                <w:szCs w:val="15"/>
                <w:color w:val="auto"/>
              </w:rPr>
              <w:t>$</w:t>
            </w: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221</w:t>
            </w:r>
          </w:p>
        </w:tc>
        <w:tc>
          <w:tcPr>
            <w:tcW w:w="100" w:type="dxa"/>
            <w:vAlign w:val="bottom"/>
            <w:tcBorders>
              <w:bottom w:val="single" w:sz="8" w:color="DBDBDB"/>
            </w:tcBorders>
            <w:shd w:val="clear" w:color="auto" w:fill="DBDBDB"/>
          </w:tcPr>
          <w:p>
            <w:pPr>
              <w:spacing w:after="0"/>
              <w:rPr>
                <w:sz w:val="18"/>
                <w:szCs w:val="18"/>
                <w:color w:val="auto"/>
              </w:rPr>
            </w:pPr>
          </w:p>
        </w:tc>
        <w:tc>
          <w:tcPr>
            <w:tcW w:w="360" w:type="dxa"/>
            <w:vAlign w:val="bottom"/>
            <w:tcBorders>
              <w:bottom w:val="single" w:sz="8" w:color="auto"/>
            </w:tcBorders>
            <w:shd w:val="clear" w:color="auto" w:fill="DBDBDB"/>
          </w:tcPr>
          <w:p>
            <w:pPr>
              <w:jc w:val="right"/>
              <w:ind w:right="164"/>
              <w:spacing w:after="0"/>
              <w:rPr>
                <w:sz w:val="20"/>
                <w:szCs w:val="20"/>
                <w:color w:val="auto"/>
              </w:rPr>
            </w:pPr>
            <w:r>
              <w:rPr>
                <w:rFonts w:ascii="Arial" w:cs="Arial" w:eastAsia="Arial" w:hAnsi="Arial"/>
                <w:sz w:val="15"/>
                <w:szCs w:val="15"/>
                <w:color w:val="auto"/>
              </w:rPr>
              <w:t>$</w:t>
            </w: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691</w:t>
            </w:r>
          </w:p>
        </w:tc>
      </w:tr>
      <w:tr>
        <w:trPr>
          <w:trHeight w:val="20"/>
        </w:trPr>
        <w:tc>
          <w:tcPr>
            <w:tcW w:w="492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13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116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13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160" w:type="dxa"/>
            <w:vAlign w:val="bottom"/>
            <w:tcBorders>
              <w:top w:val="single" w:sz="8" w:color="DBDBDB"/>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440" w:right="339" w:bottom="1440" w:gutter="0" w:footer="0" w:header="0"/>
        </w:sectPr>
      </w:pPr>
    </w:p>
    <w:bookmarkStart w:id="10" w:name="page11"/>
    <w:bookmarkEnd w:id="10"/>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720" w:type="dxa"/>
            <w:vAlign w:val="bottom"/>
            <w:tcBorders>
              <w:bottom w:val="single" w:sz="8" w:color="33A3DC"/>
            </w:tcBorders>
            <w:gridSpan w:val="11"/>
          </w:tcPr>
          <w:p>
            <w:pPr>
              <w:ind w:left="20"/>
              <w:spacing w:after="0"/>
              <w:rPr>
                <w:sz w:val="20"/>
                <w:szCs w:val="20"/>
                <w:color w:val="auto"/>
              </w:rPr>
            </w:pPr>
            <w:r>
              <w:rPr>
                <w:rFonts w:ascii="Arial" w:cs="Arial" w:eastAsia="Arial" w:hAnsi="Arial"/>
                <w:sz w:val="18"/>
                <w:szCs w:val="18"/>
                <w:b w:val="1"/>
                <w:bCs w:val="1"/>
                <w:color w:val="00386C"/>
              </w:rPr>
              <w:t>NATURAL GAS, OIL AND NGL PRODUCTION AND AVERAGE SALES PRICES (unaudited)</w:t>
            </w:r>
          </w:p>
        </w:tc>
        <w:tc>
          <w:tcPr>
            <w:tcW w:w="820" w:type="dxa"/>
            <w:vAlign w:val="bottom"/>
            <w:gridSpan w:val="3"/>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344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gridSpan w:val="11"/>
          </w:tcPr>
          <w:p>
            <w:pPr>
              <w:jc w:val="center"/>
              <w:ind w:right="60"/>
              <w:spacing w:after="0"/>
              <w:rPr>
                <w:sz w:val="20"/>
                <w:szCs w:val="20"/>
                <w:color w:val="auto"/>
              </w:rPr>
            </w:pPr>
            <w:r>
              <w:rPr>
                <w:rFonts w:ascii="Arial" w:cs="Arial" w:eastAsia="Arial" w:hAnsi="Arial"/>
                <w:sz w:val="18"/>
                <w:szCs w:val="18"/>
                <w:b w:val="1"/>
                <w:bCs w:val="1"/>
                <w:color w:val="auto"/>
              </w:rPr>
              <w:t>Three Months Ended September 30, 2026</w:t>
            </w: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440" w:type="dxa"/>
            <w:vAlign w:val="bottom"/>
          </w:tcPr>
          <w:p>
            <w:pPr>
              <w:spacing w:after="0"/>
              <w:rPr>
                <w:sz w:val="19"/>
                <w:szCs w:val="19"/>
                <w:color w:val="auto"/>
              </w:rPr>
            </w:pPr>
          </w:p>
        </w:tc>
        <w:tc>
          <w:tcPr>
            <w:tcW w:w="186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8"/>
                <w:szCs w:val="18"/>
                <w:b w:val="1"/>
                <w:bCs w:val="1"/>
                <w:color w:val="auto"/>
              </w:rPr>
              <w:t>Natural Gas</w:t>
            </w:r>
          </w:p>
        </w:tc>
        <w:tc>
          <w:tcPr>
            <w:tcW w:w="100" w:type="dxa"/>
            <w:vAlign w:val="bottom"/>
          </w:tcPr>
          <w:p>
            <w:pPr>
              <w:spacing w:after="0"/>
              <w:rPr>
                <w:sz w:val="19"/>
                <w:szCs w:val="19"/>
                <w:color w:val="auto"/>
              </w:rPr>
            </w:pPr>
          </w:p>
        </w:tc>
        <w:tc>
          <w:tcPr>
            <w:tcW w:w="1140" w:type="dxa"/>
            <w:vAlign w:val="bottom"/>
            <w:tcBorders>
              <w:bottom w:val="single" w:sz="8" w:color="auto"/>
            </w:tcBorders>
            <w:gridSpan w:val="3"/>
          </w:tcPr>
          <w:p>
            <w:pPr>
              <w:ind w:left="820"/>
              <w:spacing w:after="0"/>
              <w:rPr>
                <w:sz w:val="20"/>
                <w:szCs w:val="20"/>
                <w:color w:val="auto"/>
              </w:rPr>
            </w:pPr>
            <w:r>
              <w:rPr>
                <w:rFonts w:ascii="Arial" w:cs="Arial" w:eastAsia="Arial" w:hAnsi="Arial"/>
                <w:sz w:val="18"/>
                <w:szCs w:val="18"/>
                <w:b w:val="1"/>
                <w:bCs w:val="1"/>
                <w:color w:val="auto"/>
              </w:rPr>
              <w:t>Oil</w:t>
            </w:r>
          </w:p>
        </w:tc>
        <w:tc>
          <w:tcPr>
            <w:tcW w:w="7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3"/>
          </w:tcPr>
          <w:p>
            <w:pPr>
              <w:ind w:left="400"/>
              <w:spacing w:after="0"/>
              <w:rPr>
                <w:sz w:val="20"/>
                <w:szCs w:val="20"/>
                <w:color w:val="auto"/>
              </w:rPr>
            </w:pPr>
            <w:r>
              <w:rPr>
                <w:rFonts w:ascii="Arial" w:cs="Arial" w:eastAsia="Arial" w:hAnsi="Arial"/>
                <w:sz w:val="18"/>
                <w:szCs w:val="18"/>
                <w:b w:val="1"/>
                <w:bCs w:val="1"/>
                <w:color w:val="auto"/>
              </w:rPr>
              <w:t>NGL</w:t>
            </w:r>
          </w:p>
        </w:tc>
        <w:tc>
          <w:tcPr>
            <w:tcW w:w="7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Borders>
              <w:bottom w:val="single" w:sz="8" w:color="auto"/>
            </w:tcBorders>
            <w:gridSpan w:val="3"/>
          </w:tcPr>
          <w:p>
            <w:pPr>
              <w:ind w:left="740"/>
              <w:spacing w:after="0"/>
              <w:rPr>
                <w:sz w:val="20"/>
                <w:szCs w:val="20"/>
                <w:color w:val="auto"/>
              </w:rPr>
            </w:pPr>
            <w:r>
              <w:rPr>
                <w:rFonts w:ascii="Arial" w:cs="Arial" w:eastAsia="Arial" w:hAnsi="Arial"/>
                <w:sz w:val="18"/>
                <w:szCs w:val="18"/>
                <w:b w:val="1"/>
                <w:bCs w:val="1"/>
                <w:color w:val="auto"/>
                <w:w w:val="92"/>
              </w:rPr>
              <w:t>Total</w:t>
            </w:r>
          </w:p>
        </w:tc>
        <w:tc>
          <w:tcPr>
            <w:tcW w:w="7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440" w:type="dxa"/>
            <w:vAlign w:val="bottom"/>
          </w:tcPr>
          <w:p>
            <w:pPr>
              <w:spacing w:after="0"/>
              <w:rPr>
                <w:sz w:val="14"/>
                <w:szCs w:val="14"/>
                <w:color w:val="auto"/>
              </w:rPr>
            </w:pPr>
          </w:p>
        </w:tc>
        <w:tc>
          <w:tcPr>
            <w:tcW w:w="88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rPr>
              <w:t>MMcf per</w:t>
            </w:r>
          </w:p>
        </w:tc>
        <w:tc>
          <w:tcPr>
            <w:tcW w:w="100" w:type="dxa"/>
            <w:vAlign w:val="bottom"/>
          </w:tcPr>
          <w:p>
            <w:pPr>
              <w:spacing w:after="0"/>
              <w:rPr>
                <w:sz w:val="14"/>
                <w:szCs w:val="14"/>
                <w:color w:val="auto"/>
              </w:rPr>
            </w:pPr>
          </w:p>
        </w:tc>
        <w:tc>
          <w:tcPr>
            <w:tcW w:w="980" w:type="dxa"/>
            <w:vAlign w:val="bottom"/>
            <w:gridSpan w:val="2"/>
            <w:vMerge w:val="restart"/>
          </w:tcPr>
          <w:p>
            <w:pPr>
              <w:ind w:left="220"/>
              <w:spacing w:after="0"/>
              <w:rPr>
                <w:sz w:val="20"/>
                <w:szCs w:val="20"/>
                <w:color w:val="auto"/>
              </w:rPr>
            </w:pPr>
            <w:r>
              <w:rPr>
                <w:rFonts w:ascii="Arial" w:cs="Arial" w:eastAsia="Arial" w:hAnsi="Arial"/>
                <w:sz w:val="18"/>
                <w:szCs w:val="18"/>
                <w:b w:val="1"/>
                <w:bCs w:val="1"/>
                <w:color w:val="auto"/>
              </w:rPr>
              <w:t>$/Mcf</w:t>
            </w:r>
          </w:p>
        </w:tc>
        <w:tc>
          <w:tcPr>
            <w:tcW w:w="1140" w:type="dxa"/>
            <w:vAlign w:val="bottom"/>
            <w:gridSpan w:val="3"/>
          </w:tcPr>
          <w:p>
            <w:pPr>
              <w:jc w:val="center"/>
              <w:ind w:right="240"/>
              <w:spacing w:after="0" w:line="169" w:lineRule="exact"/>
              <w:rPr>
                <w:sz w:val="20"/>
                <w:szCs w:val="20"/>
                <w:color w:val="auto"/>
              </w:rPr>
            </w:pPr>
            <w:r>
              <w:rPr>
                <w:rFonts w:ascii="Arial" w:cs="Arial" w:eastAsia="Arial" w:hAnsi="Arial"/>
                <w:sz w:val="18"/>
                <w:szCs w:val="18"/>
                <w:b w:val="1"/>
                <w:bCs w:val="1"/>
                <w:color w:val="auto"/>
              </w:rPr>
              <w:t>MBbl per</w:t>
            </w:r>
          </w:p>
        </w:tc>
        <w:tc>
          <w:tcPr>
            <w:tcW w:w="84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$/Bbl</w:t>
            </w:r>
          </w:p>
        </w:tc>
        <w:tc>
          <w:tcPr>
            <w:tcW w:w="1160" w:type="dxa"/>
            <w:vAlign w:val="bottom"/>
            <w:gridSpan w:val="4"/>
          </w:tcPr>
          <w:p>
            <w:pPr>
              <w:jc w:val="center"/>
              <w:ind w:right="280"/>
              <w:spacing w:after="0" w:line="169" w:lineRule="exact"/>
              <w:rPr>
                <w:sz w:val="20"/>
                <w:szCs w:val="20"/>
                <w:color w:val="auto"/>
              </w:rPr>
            </w:pPr>
            <w:r>
              <w:rPr>
                <w:rFonts w:ascii="Arial" w:cs="Arial" w:eastAsia="Arial" w:hAnsi="Arial"/>
                <w:sz w:val="18"/>
                <w:szCs w:val="18"/>
                <w:b w:val="1"/>
                <w:bCs w:val="1"/>
                <w:color w:val="auto"/>
                <w:w w:val="98"/>
              </w:rPr>
              <w:t>MBbl per</w:t>
            </w:r>
          </w:p>
        </w:tc>
        <w:tc>
          <w:tcPr>
            <w:tcW w:w="80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$/Bbl</w:t>
            </w:r>
          </w:p>
        </w:tc>
        <w:tc>
          <w:tcPr>
            <w:tcW w:w="1160" w:type="dxa"/>
            <w:vAlign w:val="bottom"/>
            <w:gridSpan w:val="3"/>
          </w:tcPr>
          <w:p>
            <w:pPr>
              <w:jc w:val="center"/>
              <w:ind w:right="240"/>
              <w:spacing w:after="0" w:line="169" w:lineRule="exact"/>
              <w:rPr>
                <w:sz w:val="20"/>
                <w:szCs w:val="20"/>
                <w:color w:val="auto"/>
              </w:rPr>
            </w:pPr>
            <w:r>
              <w:rPr>
                <w:rFonts w:ascii="Arial" w:cs="Arial" w:eastAsia="Arial" w:hAnsi="Arial"/>
                <w:sz w:val="18"/>
                <w:szCs w:val="18"/>
                <w:b w:val="1"/>
                <w:bCs w:val="1"/>
                <w:color w:val="auto"/>
                <w:w w:val="99"/>
              </w:rPr>
              <w:t>MMcfe</w:t>
            </w:r>
          </w:p>
        </w:tc>
        <w:tc>
          <w:tcPr>
            <w:tcW w:w="74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w w:val="99"/>
              </w:rPr>
              <w:t>$/Mcfe</w:t>
            </w:r>
          </w:p>
        </w:tc>
        <w:tc>
          <w:tcPr>
            <w:tcW w:w="0" w:type="dxa"/>
            <w:vAlign w:val="bottom"/>
          </w:tcPr>
          <w:p>
            <w:pPr>
              <w:spacing w:after="0"/>
              <w:rPr>
                <w:sz w:val="1"/>
                <w:szCs w:val="1"/>
                <w:color w:val="auto"/>
              </w:rPr>
            </w:pPr>
          </w:p>
        </w:tc>
      </w:tr>
      <w:tr>
        <w:trPr>
          <w:trHeight w:val="243"/>
        </w:trPr>
        <w:tc>
          <w:tcPr>
            <w:tcW w:w="3440" w:type="dxa"/>
            <w:vAlign w:val="bottom"/>
          </w:tcPr>
          <w:p>
            <w:pPr>
              <w:spacing w:after="0"/>
              <w:rPr>
                <w:sz w:val="21"/>
                <w:szCs w:val="21"/>
                <w:color w:val="auto"/>
              </w:rPr>
            </w:pP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rPr>
              <w:t>day</w:t>
            </w:r>
          </w:p>
        </w:tc>
        <w:tc>
          <w:tcPr>
            <w:tcW w:w="100" w:type="dxa"/>
            <w:vAlign w:val="bottom"/>
          </w:tcPr>
          <w:p>
            <w:pPr>
              <w:spacing w:after="0"/>
              <w:rPr>
                <w:sz w:val="21"/>
                <w:szCs w:val="21"/>
                <w:color w:val="auto"/>
              </w:rPr>
            </w:pPr>
          </w:p>
        </w:tc>
        <w:tc>
          <w:tcPr>
            <w:tcW w:w="980" w:type="dxa"/>
            <w:vAlign w:val="bottom"/>
            <w:gridSpan w:val="2"/>
            <w:vMerge w:val="continue"/>
          </w:tcPr>
          <w:p>
            <w:pPr>
              <w:spacing w:after="0"/>
              <w:rPr>
                <w:sz w:val="21"/>
                <w:szCs w:val="21"/>
                <w:color w:val="auto"/>
              </w:rPr>
            </w:pPr>
          </w:p>
        </w:tc>
        <w:tc>
          <w:tcPr>
            <w:tcW w:w="114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6"/>
              </w:rPr>
              <w:t>day</w:t>
            </w:r>
          </w:p>
        </w:tc>
        <w:tc>
          <w:tcPr>
            <w:tcW w:w="840" w:type="dxa"/>
            <w:vAlign w:val="bottom"/>
            <w:gridSpan w:val="2"/>
            <w:vMerge w:val="continue"/>
          </w:tcPr>
          <w:p>
            <w:pPr>
              <w:spacing w:after="0"/>
              <w:rPr>
                <w:sz w:val="21"/>
                <w:szCs w:val="21"/>
                <w:color w:val="auto"/>
              </w:rPr>
            </w:pPr>
          </w:p>
        </w:tc>
        <w:tc>
          <w:tcPr>
            <w:tcW w:w="1160" w:type="dxa"/>
            <w:vAlign w:val="bottom"/>
            <w:gridSpan w:val="4"/>
          </w:tcPr>
          <w:p>
            <w:pPr>
              <w:jc w:val="center"/>
              <w:ind w:right="280"/>
              <w:spacing w:after="0"/>
              <w:rPr>
                <w:sz w:val="20"/>
                <w:szCs w:val="20"/>
                <w:color w:val="auto"/>
              </w:rPr>
            </w:pPr>
            <w:r>
              <w:rPr>
                <w:rFonts w:ascii="Arial" w:cs="Arial" w:eastAsia="Arial" w:hAnsi="Arial"/>
                <w:sz w:val="18"/>
                <w:szCs w:val="18"/>
                <w:b w:val="1"/>
                <w:bCs w:val="1"/>
                <w:color w:val="auto"/>
              </w:rPr>
              <w:t>day</w:t>
            </w:r>
          </w:p>
        </w:tc>
        <w:tc>
          <w:tcPr>
            <w:tcW w:w="800" w:type="dxa"/>
            <w:vAlign w:val="bottom"/>
            <w:gridSpan w:val="2"/>
            <w:vMerge w:val="continue"/>
          </w:tcPr>
          <w:p>
            <w:pPr>
              <w:spacing w:after="0"/>
              <w:rPr>
                <w:sz w:val="21"/>
                <w:szCs w:val="21"/>
                <w:color w:val="auto"/>
              </w:rPr>
            </w:pPr>
          </w:p>
        </w:tc>
        <w:tc>
          <w:tcPr>
            <w:tcW w:w="116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9"/>
              </w:rPr>
              <w:t>per day</w:t>
            </w:r>
          </w:p>
        </w:tc>
        <w:tc>
          <w:tcPr>
            <w:tcW w:w="7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44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Haynesville</w:t>
            </w:r>
          </w:p>
        </w:tc>
        <w:tc>
          <w:tcPr>
            <w:tcW w:w="8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3,178</w:t>
            </w:r>
          </w:p>
        </w:tc>
        <w:tc>
          <w:tcPr>
            <w:tcW w:w="100" w:type="dxa"/>
            <w:vAlign w:val="bottom"/>
            <w:tcBorders>
              <w:top w:val="single" w:sz="8" w:color="DBDBDB"/>
            </w:tcBorders>
            <w:shd w:val="clear" w:color="auto" w:fill="DBDBDB"/>
          </w:tcPr>
          <w:p>
            <w:pPr>
              <w:spacing w:after="0"/>
              <w:rPr>
                <w:sz w:val="19"/>
                <w:szCs w:val="19"/>
                <w:color w:val="auto"/>
              </w:rPr>
            </w:pPr>
          </w:p>
        </w:tc>
        <w:tc>
          <w:tcPr>
            <w:tcW w:w="8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Borders>
              <w:top w:val="single" w:sz="8" w:color="DBDBDB"/>
            </w:tcBorders>
            <w:shd w:val="clear" w:color="auto" w:fill="DBDBDB"/>
          </w:tcPr>
          <w:p>
            <w:pPr>
              <w:spacing w:after="0"/>
              <w:rPr>
                <w:sz w:val="19"/>
                <w:szCs w:val="19"/>
                <w:color w:val="auto"/>
              </w:rPr>
            </w:pPr>
          </w:p>
        </w:tc>
        <w:tc>
          <w:tcPr>
            <w:tcW w:w="8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auto"/>
            </w:tcBorders>
            <w:shd w:val="clear" w:color="auto" w:fill="DBDBDB"/>
          </w:tcPr>
          <w:p>
            <w:pPr>
              <w:spacing w:after="0"/>
              <w:rPr>
                <w:sz w:val="19"/>
                <w:szCs w:val="19"/>
                <w:color w:val="auto"/>
              </w:rPr>
            </w:pPr>
          </w:p>
        </w:tc>
        <w:tc>
          <w:tcPr>
            <w:tcW w:w="7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DBDBDB"/>
            </w:tcBorders>
            <w:shd w:val="clear" w:color="auto" w:fill="DBDBDB"/>
          </w:tcPr>
          <w:p>
            <w:pPr>
              <w:spacing w:after="0"/>
              <w:rPr>
                <w:sz w:val="19"/>
                <w:szCs w:val="19"/>
                <w:color w:val="auto"/>
              </w:rPr>
            </w:pPr>
          </w:p>
        </w:tc>
        <w:tc>
          <w:tcPr>
            <w:tcW w:w="340" w:type="dxa"/>
            <w:vAlign w:val="bottom"/>
            <w:tcBorders>
              <w:top w:val="single" w:sz="8" w:color="auto"/>
            </w:tcBorders>
            <w:shd w:val="clear" w:color="auto" w:fill="DBDBDB"/>
          </w:tcPr>
          <w:p>
            <w:pPr>
              <w:spacing w:after="0"/>
              <w:rPr>
                <w:sz w:val="19"/>
                <w:szCs w:val="19"/>
                <w:color w:val="auto"/>
              </w:rPr>
            </w:pPr>
          </w:p>
        </w:tc>
        <w:tc>
          <w:tcPr>
            <w:tcW w:w="5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auto"/>
            </w:tcBorders>
            <w:shd w:val="clear" w:color="auto" w:fill="DBDBDB"/>
          </w:tcPr>
          <w:p>
            <w:pPr>
              <w:spacing w:after="0"/>
              <w:rPr>
                <w:sz w:val="19"/>
                <w:szCs w:val="19"/>
                <w:color w:val="auto"/>
              </w:rPr>
            </w:pPr>
          </w:p>
        </w:tc>
        <w:tc>
          <w:tcPr>
            <w:tcW w:w="7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DBDBDB"/>
            </w:tcBorders>
            <w:shd w:val="clear" w:color="auto" w:fill="DBDBDB"/>
          </w:tcPr>
          <w:p>
            <w:pPr>
              <w:spacing w:after="0"/>
              <w:rPr>
                <w:sz w:val="19"/>
                <w:szCs w:val="19"/>
                <w:color w:val="auto"/>
              </w:rPr>
            </w:pPr>
          </w:p>
        </w:tc>
        <w:tc>
          <w:tcPr>
            <w:tcW w:w="9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3,178</w:t>
            </w:r>
          </w:p>
        </w:tc>
        <w:tc>
          <w:tcPr>
            <w:tcW w:w="100" w:type="dxa"/>
            <w:vAlign w:val="bottom"/>
            <w:tcBorders>
              <w:top w:val="single" w:sz="8" w:color="DBDBDB"/>
            </w:tcBorders>
            <w:shd w:val="clear" w:color="auto" w:fill="DBDBDB"/>
          </w:tcPr>
          <w:p>
            <w:pPr>
              <w:spacing w:after="0"/>
              <w:rPr>
                <w:sz w:val="19"/>
                <w:szCs w:val="19"/>
                <w:color w:val="auto"/>
              </w:rPr>
            </w:pPr>
          </w:p>
        </w:tc>
        <w:tc>
          <w:tcPr>
            <w:tcW w:w="160" w:type="dxa"/>
            <w:vAlign w:val="bottom"/>
            <w:tcBorders>
              <w:top w:val="single" w:sz="8" w:color="auto"/>
            </w:tcBorders>
            <w:shd w:val="clear" w:color="auto" w:fill="DBDBDB"/>
          </w:tcPr>
          <w:p>
            <w:pPr>
              <w:spacing w:after="0"/>
              <w:rPr>
                <w:sz w:val="19"/>
                <w:szCs w:val="19"/>
                <w:color w:val="auto"/>
              </w:rPr>
            </w:pPr>
          </w:p>
        </w:tc>
        <w:tc>
          <w:tcPr>
            <w:tcW w:w="7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29"/>
        </w:trPr>
        <w:tc>
          <w:tcPr>
            <w:tcW w:w="3440" w:type="dxa"/>
            <w:vAlign w:val="bottom"/>
          </w:tcPr>
          <w:p>
            <w:pPr>
              <w:ind w:left="20"/>
              <w:spacing w:after="0"/>
              <w:rPr>
                <w:sz w:val="20"/>
                <w:szCs w:val="20"/>
                <w:color w:val="auto"/>
              </w:rPr>
            </w:pPr>
            <w:r>
              <w:rPr>
                <w:rFonts w:ascii="Arial" w:cs="Arial" w:eastAsia="Arial" w:hAnsi="Arial"/>
                <w:sz w:val="18"/>
                <w:szCs w:val="18"/>
                <w:color w:val="auto"/>
              </w:rPr>
              <w:t>Northeast Appalachia</w:t>
            </w:r>
          </w:p>
        </w:tc>
        <w:tc>
          <w:tcPr>
            <w:tcW w:w="880" w:type="dxa"/>
            <w:vAlign w:val="bottom"/>
          </w:tcPr>
          <w:p>
            <w:pPr>
              <w:jc w:val="right"/>
              <w:spacing w:after="0"/>
              <w:rPr>
                <w:sz w:val="20"/>
                <w:szCs w:val="20"/>
                <w:color w:val="auto"/>
              </w:rPr>
            </w:pPr>
            <w:r>
              <w:rPr>
                <w:rFonts w:ascii="Arial" w:cs="Arial" w:eastAsia="Arial" w:hAnsi="Arial"/>
                <w:sz w:val="18"/>
                <w:szCs w:val="18"/>
                <w:color w:val="auto"/>
              </w:rPr>
              <w:t>2,593</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19"/>
                <w:szCs w:val="19"/>
                <w:color w:val="auto"/>
              </w:rPr>
            </w:pPr>
          </w:p>
        </w:tc>
        <w:tc>
          <w:tcPr>
            <w:tcW w:w="114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2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2,593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29"/>
        </w:trPr>
        <w:tc>
          <w:tcPr>
            <w:tcW w:w="3440" w:type="dxa"/>
            <w:vAlign w:val="bottom"/>
            <w:shd w:val="clear" w:color="auto" w:fill="DBDBDB"/>
          </w:tcPr>
          <w:p>
            <w:pPr>
              <w:ind w:left="20"/>
              <w:spacing w:after="0"/>
              <w:rPr>
                <w:sz w:val="20"/>
                <w:szCs w:val="20"/>
                <w:color w:val="auto"/>
              </w:rPr>
            </w:pPr>
            <w:r>
              <w:rPr>
                <w:rFonts w:ascii="Arial" w:cs="Arial" w:eastAsia="Arial" w:hAnsi="Arial"/>
                <w:sz w:val="18"/>
                <w:szCs w:val="18"/>
                <w:color w:val="auto"/>
              </w:rPr>
              <w:t>Southwest Appalachia</w:t>
            </w: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1,145</w:t>
            </w:r>
          </w:p>
        </w:tc>
        <w:tc>
          <w:tcPr>
            <w:tcW w:w="98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2.44</w:t>
            </w:r>
          </w:p>
        </w:tc>
        <w:tc>
          <w:tcPr>
            <w:tcW w:w="100" w:type="dxa"/>
            <w:vAlign w:val="bottom"/>
            <w:shd w:val="clear" w:color="auto" w:fill="DBDBDB"/>
          </w:tcPr>
          <w:p>
            <w:pPr>
              <w:spacing w:after="0"/>
              <w:rPr>
                <w:sz w:val="19"/>
                <w:szCs w:val="19"/>
                <w:color w:val="auto"/>
              </w:rPr>
            </w:pP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77.05</w:t>
            </w:r>
          </w:p>
        </w:tc>
        <w:tc>
          <w:tcPr>
            <w:tcW w:w="100" w:type="dxa"/>
            <w:vAlign w:val="bottom"/>
            <w:shd w:val="clear" w:color="auto" w:fill="DBDBDB"/>
          </w:tcPr>
          <w:p>
            <w:pPr>
              <w:spacing w:after="0"/>
              <w:rPr>
                <w:sz w:val="19"/>
                <w:szCs w:val="19"/>
                <w:color w:val="auto"/>
              </w:rPr>
            </w:pPr>
          </w:p>
        </w:tc>
        <w:tc>
          <w:tcPr>
            <w:tcW w:w="880" w:type="dxa"/>
            <w:vAlign w:val="bottom"/>
            <w:tcBorders>
              <w:bottom w:val="single" w:sz="8" w:color="auto"/>
            </w:tcBorders>
            <w:gridSpan w:val="2"/>
            <w:shd w:val="clear" w:color="auto" w:fill="DBDBDB"/>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25.95</w:t>
            </w:r>
          </w:p>
        </w:tc>
        <w:tc>
          <w:tcPr>
            <w:tcW w:w="100" w:type="dxa"/>
            <w:vAlign w:val="bottom"/>
            <w:shd w:val="clear" w:color="auto" w:fill="DBDBDB"/>
          </w:tcPr>
          <w:p>
            <w:pPr>
              <w:spacing w:after="0"/>
              <w:rPr>
                <w:sz w:val="19"/>
                <w:szCs w:val="19"/>
                <w:color w:val="auto"/>
              </w:rPr>
            </w:pP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1,767</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23"/>
        </w:trPr>
        <w:tc>
          <w:tcPr>
            <w:tcW w:w="3440" w:type="dxa"/>
            <w:vAlign w:val="bottom"/>
          </w:tcPr>
          <w:p>
            <w:pPr>
              <w:ind w:left="240"/>
              <w:spacing w:after="0"/>
              <w:rPr>
                <w:sz w:val="20"/>
                <w:szCs w:val="20"/>
                <w:color w:val="auto"/>
              </w:rPr>
            </w:pPr>
            <w:r>
              <w:rPr>
                <w:rFonts w:ascii="Arial" w:cs="Arial" w:eastAsia="Arial" w:hAnsi="Arial"/>
                <w:sz w:val="18"/>
                <w:szCs w:val="18"/>
                <w:color w:val="auto"/>
              </w:rPr>
              <w:t>Total</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6,916</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77.05</w:t>
            </w:r>
          </w:p>
        </w:tc>
        <w:tc>
          <w:tcPr>
            <w:tcW w:w="100" w:type="dxa"/>
            <w:vAlign w:val="bottom"/>
          </w:tcPr>
          <w:p>
            <w:pPr>
              <w:spacing w:after="0"/>
              <w:rPr>
                <w:sz w:val="19"/>
                <w:szCs w:val="19"/>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25.95</w:t>
            </w:r>
          </w:p>
        </w:tc>
        <w:tc>
          <w:tcPr>
            <w:tcW w:w="10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1"/>
        </w:trPr>
        <w:tc>
          <w:tcPr>
            <w:tcW w:w="34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34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3440" w:type="dxa"/>
            <w:vAlign w:val="bottom"/>
            <w:shd w:val="clear" w:color="auto" w:fill="DBDBDB"/>
          </w:tcPr>
          <w:p>
            <w:pPr>
              <w:ind w:left="20"/>
              <w:spacing w:after="0"/>
              <w:rPr>
                <w:sz w:val="20"/>
                <w:szCs w:val="20"/>
                <w:color w:val="auto"/>
              </w:rPr>
            </w:pPr>
            <w:r>
              <w:rPr>
                <w:rFonts w:ascii="Arial" w:cs="Arial" w:eastAsia="Arial" w:hAnsi="Arial"/>
                <w:sz w:val="18"/>
                <w:szCs w:val="18"/>
                <w:color w:val="auto"/>
              </w:rPr>
              <w:t>Average NYMEX Price</w:t>
            </w:r>
          </w:p>
        </w:tc>
        <w:tc>
          <w:tcPr>
            <w:tcW w:w="880" w:type="dxa"/>
            <w:vAlign w:val="bottom"/>
            <w:shd w:val="clear" w:color="auto" w:fill="DBDBDB"/>
          </w:tcPr>
          <w:p>
            <w:pPr>
              <w:spacing w:after="0"/>
              <w:rPr>
                <w:sz w:val="19"/>
                <w:szCs w:val="19"/>
                <w:color w:val="auto"/>
              </w:rPr>
            </w:pPr>
          </w:p>
        </w:tc>
        <w:tc>
          <w:tcPr>
            <w:tcW w:w="98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2.95</w:t>
            </w:r>
          </w:p>
        </w:tc>
        <w:tc>
          <w:tcPr>
            <w:tcW w:w="100" w:type="dxa"/>
            <w:vAlign w:val="bottom"/>
            <w:shd w:val="clear" w:color="auto" w:fill="DBDBDB"/>
          </w:tcPr>
          <w:p>
            <w:pPr>
              <w:spacing w:after="0"/>
              <w:rPr>
                <w:sz w:val="19"/>
                <w:szCs w:val="19"/>
                <w:color w:val="auto"/>
              </w:rPr>
            </w:pPr>
          </w:p>
        </w:tc>
        <w:tc>
          <w:tcPr>
            <w:tcW w:w="8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85.79</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5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7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9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74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440" w:type="dxa"/>
            <w:vAlign w:val="bottom"/>
          </w:tcPr>
          <w:p>
            <w:pPr>
              <w:ind w:left="20"/>
              <w:spacing w:after="0" w:line="176" w:lineRule="exact"/>
              <w:rPr>
                <w:sz w:val="20"/>
                <w:szCs w:val="20"/>
                <w:color w:val="auto"/>
              </w:rPr>
            </w:pPr>
            <w:r>
              <w:rPr>
                <w:rFonts w:ascii="Arial" w:cs="Arial" w:eastAsia="Arial" w:hAnsi="Arial"/>
                <w:sz w:val="18"/>
                <w:szCs w:val="18"/>
                <w:color w:val="auto"/>
              </w:rPr>
              <w:t>Average Realized Price (including</w:t>
            </w:r>
          </w:p>
        </w:tc>
        <w:tc>
          <w:tcPr>
            <w:tcW w:w="880" w:type="dxa"/>
            <w:vAlign w:val="bottom"/>
          </w:tcPr>
          <w:p>
            <w:pPr>
              <w:spacing w:after="0"/>
              <w:rPr>
                <w:sz w:val="15"/>
                <w:szCs w:val="15"/>
                <w:color w:val="auto"/>
              </w:rPr>
            </w:pPr>
          </w:p>
        </w:tc>
        <w:tc>
          <w:tcPr>
            <w:tcW w:w="980" w:type="dxa"/>
            <w:vAlign w:val="bottom"/>
            <w:gridSpan w:val="2"/>
            <w:vMerge w:val="restart"/>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75.97</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25.87</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47"/>
        </w:trPr>
        <w:tc>
          <w:tcPr>
            <w:tcW w:w="3440" w:type="dxa"/>
            <w:vAlign w:val="bottom"/>
          </w:tcPr>
          <w:p>
            <w:pPr>
              <w:ind w:left="20"/>
              <w:spacing w:after="0"/>
              <w:rPr>
                <w:sz w:val="20"/>
                <w:szCs w:val="20"/>
                <w:color w:val="auto"/>
              </w:rPr>
            </w:pPr>
            <w:r>
              <w:rPr>
                <w:rFonts w:ascii="Arial" w:cs="Arial" w:eastAsia="Arial" w:hAnsi="Arial"/>
                <w:sz w:val="18"/>
                <w:szCs w:val="18"/>
                <w:color w:val="auto"/>
              </w:rPr>
              <w:t>realized derivatives)</w:t>
            </w:r>
          </w:p>
        </w:tc>
        <w:tc>
          <w:tcPr>
            <w:tcW w:w="880" w:type="dxa"/>
            <w:vAlign w:val="bottom"/>
          </w:tcPr>
          <w:p>
            <w:pPr>
              <w:spacing w:after="0"/>
              <w:rPr>
                <w:sz w:val="21"/>
                <w:szCs w:val="21"/>
                <w:color w:val="auto"/>
              </w:rPr>
            </w:pPr>
          </w:p>
        </w:tc>
        <w:tc>
          <w:tcPr>
            <w:tcW w:w="980" w:type="dxa"/>
            <w:vAlign w:val="bottom"/>
            <w:gridSpan w:val="2"/>
            <w:vMerge w:val="continue"/>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684"/>
        </w:trPr>
        <w:tc>
          <w:tcPr>
            <w:tcW w:w="344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gridSpan w:val="11"/>
          </w:tcPr>
          <w:p>
            <w:pPr>
              <w:jc w:val="center"/>
              <w:ind w:right="60"/>
              <w:spacing w:after="0"/>
              <w:rPr>
                <w:sz w:val="20"/>
                <w:szCs w:val="20"/>
                <w:color w:val="auto"/>
              </w:rPr>
            </w:pPr>
            <w:r>
              <w:rPr>
                <w:rFonts w:ascii="Arial" w:cs="Arial" w:eastAsia="Arial" w:hAnsi="Arial"/>
                <w:sz w:val="18"/>
                <w:szCs w:val="18"/>
                <w:b w:val="1"/>
                <w:bCs w:val="1"/>
                <w:color w:val="auto"/>
              </w:rPr>
              <w:t>Three Months Ended September 30, 2025</w:t>
            </w: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440" w:type="dxa"/>
            <w:vAlign w:val="bottom"/>
          </w:tcPr>
          <w:p>
            <w:pPr>
              <w:spacing w:after="0"/>
              <w:rPr>
                <w:sz w:val="19"/>
                <w:szCs w:val="19"/>
                <w:color w:val="auto"/>
              </w:rPr>
            </w:pPr>
          </w:p>
        </w:tc>
        <w:tc>
          <w:tcPr>
            <w:tcW w:w="186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8"/>
                <w:szCs w:val="18"/>
                <w:b w:val="1"/>
                <w:bCs w:val="1"/>
                <w:color w:val="auto"/>
              </w:rPr>
              <w:t>Natural Gas</w:t>
            </w:r>
          </w:p>
        </w:tc>
        <w:tc>
          <w:tcPr>
            <w:tcW w:w="100" w:type="dxa"/>
            <w:vAlign w:val="bottom"/>
          </w:tcPr>
          <w:p>
            <w:pPr>
              <w:spacing w:after="0"/>
              <w:rPr>
                <w:sz w:val="19"/>
                <w:szCs w:val="19"/>
                <w:color w:val="auto"/>
              </w:rPr>
            </w:pPr>
          </w:p>
        </w:tc>
        <w:tc>
          <w:tcPr>
            <w:tcW w:w="1140" w:type="dxa"/>
            <w:vAlign w:val="bottom"/>
            <w:tcBorders>
              <w:bottom w:val="single" w:sz="8" w:color="auto"/>
            </w:tcBorders>
            <w:gridSpan w:val="3"/>
          </w:tcPr>
          <w:p>
            <w:pPr>
              <w:ind w:left="820"/>
              <w:spacing w:after="0"/>
              <w:rPr>
                <w:sz w:val="20"/>
                <w:szCs w:val="20"/>
                <w:color w:val="auto"/>
              </w:rPr>
            </w:pPr>
            <w:r>
              <w:rPr>
                <w:rFonts w:ascii="Arial" w:cs="Arial" w:eastAsia="Arial" w:hAnsi="Arial"/>
                <w:sz w:val="18"/>
                <w:szCs w:val="18"/>
                <w:b w:val="1"/>
                <w:bCs w:val="1"/>
                <w:color w:val="auto"/>
              </w:rPr>
              <w:t>Oil</w:t>
            </w:r>
          </w:p>
        </w:tc>
        <w:tc>
          <w:tcPr>
            <w:tcW w:w="7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3"/>
          </w:tcPr>
          <w:p>
            <w:pPr>
              <w:ind w:left="400"/>
              <w:spacing w:after="0"/>
              <w:rPr>
                <w:sz w:val="20"/>
                <w:szCs w:val="20"/>
                <w:color w:val="auto"/>
              </w:rPr>
            </w:pPr>
            <w:r>
              <w:rPr>
                <w:rFonts w:ascii="Arial" w:cs="Arial" w:eastAsia="Arial" w:hAnsi="Arial"/>
                <w:sz w:val="18"/>
                <w:szCs w:val="18"/>
                <w:b w:val="1"/>
                <w:bCs w:val="1"/>
                <w:color w:val="auto"/>
              </w:rPr>
              <w:t>NGL</w:t>
            </w:r>
          </w:p>
        </w:tc>
        <w:tc>
          <w:tcPr>
            <w:tcW w:w="7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Borders>
              <w:bottom w:val="single" w:sz="8" w:color="auto"/>
            </w:tcBorders>
            <w:gridSpan w:val="3"/>
          </w:tcPr>
          <w:p>
            <w:pPr>
              <w:ind w:left="740"/>
              <w:spacing w:after="0"/>
              <w:rPr>
                <w:sz w:val="20"/>
                <w:szCs w:val="20"/>
                <w:color w:val="auto"/>
              </w:rPr>
            </w:pPr>
            <w:r>
              <w:rPr>
                <w:rFonts w:ascii="Arial" w:cs="Arial" w:eastAsia="Arial" w:hAnsi="Arial"/>
                <w:sz w:val="18"/>
                <w:szCs w:val="18"/>
                <w:b w:val="1"/>
                <w:bCs w:val="1"/>
                <w:color w:val="auto"/>
                <w:w w:val="92"/>
              </w:rPr>
              <w:t>Total</w:t>
            </w:r>
          </w:p>
        </w:tc>
        <w:tc>
          <w:tcPr>
            <w:tcW w:w="7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3440" w:type="dxa"/>
            <w:vAlign w:val="bottom"/>
          </w:tcPr>
          <w:p>
            <w:pPr>
              <w:spacing w:after="0"/>
              <w:rPr>
                <w:sz w:val="15"/>
                <w:szCs w:val="15"/>
                <w:color w:val="auto"/>
              </w:rPr>
            </w:pPr>
          </w:p>
        </w:tc>
        <w:tc>
          <w:tcPr>
            <w:tcW w:w="880" w:type="dxa"/>
            <w:vAlign w:val="bottom"/>
          </w:tcPr>
          <w:p>
            <w:pPr>
              <w:jc w:val="center"/>
              <w:spacing w:after="0" w:line="177" w:lineRule="exact"/>
              <w:rPr>
                <w:sz w:val="20"/>
                <w:szCs w:val="20"/>
                <w:color w:val="auto"/>
              </w:rPr>
            </w:pPr>
            <w:r>
              <w:rPr>
                <w:rFonts w:ascii="Arial" w:cs="Arial" w:eastAsia="Arial" w:hAnsi="Arial"/>
                <w:sz w:val="18"/>
                <w:szCs w:val="18"/>
                <w:b w:val="1"/>
                <w:bCs w:val="1"/>
                <w:color w:val="auto"/>
              </w:rPr>
              <w:t>MMcf per</w:t>
            </w:r>
          </w:p>
        </w:tc>
        <w:tc>
          <w:tcPr>
            <w:tcW w:w="100" w:type="dxa"/>
            <w:vAlign w:val="bottom"/>
          </w:tcPr>
          <w:p>
            <w:pPr>
              <w:spacing w:after="0"/>
              <w:rPr>
                <w:sz w:val="15"/>
                <w:szCs w:val="15"/>
                <w:color w:val="auto"/>
              </w:rPr>
            </w:pPr>
          </w:p>
        </w:tc>
        <w:tc>
          <w:tcPr>
            <w:tcW w:w="980" w:type="dxa"/>
            <w:vAlign w:val="bottom"/>
            <w:gridSpan w:val="2"/>
            <w:vMerge w:val="restart"/>
          </w:tcPr>
          <w:p>
            <w:pPr>
              <w:ind w:left="220"/>
              <w:spacing w:after="0"/>
              <w:rPr>
                <w:sz w:val="20"/>
                <w:szCs w:val="20"/>
                <w:color w:val="auto"/>
              </w:rPr>
            </w:pPr>
            <w:r>
              <w:rPr>
                <w:rFonts w:ascii="Arial" w:cs="Arial" w:eastAsia="Arial" w:hAnsi="Arial"/>
                <w:sz w:val="18"/>
                <w:szCs w:val="18"/>
                <w:b w:val="1"/>
                <w:bCs w:val="1"/>
                <w:color w:val="auto"/>
              </w:rPr>
              <w:t>$/Mcf</w:t>
            </w:r>
          </w:p>
        </w:tc>
        <w:tc>
          <w:tcPr>
            <w:tcW w:w="1140" w:type="dxa"/>
            <w:vAlign w:val="bottom"/>
            <w:gridSpan w:val="3"/>
          </w:tcPr>
          <w:p>
            <w:pPr>
              <w:jc w:val="center"/>
              <w:ind w:right="240"/>
              <w:spacing w:after="0" w:line="177" w:lineRule="exact"/>
              <w:rPr>
                <w:sz w:val="20"/>
                <w:szCs w:val="20"/>
                <w:color w:val="auto"/>
              </w:rPr>
            </w:pPr>
            <w:r>
              <w:rPr>
                <w:rFonts w:ascii="Arial" w:cs="Arial" w:eastAsia="Arial" w:hAnsi="Arial"/>
                <w:sz w:val="18"/>
                <w:szCs w:val="18"/>
                <w:b w:val="1"/>
                <w:bCs w:val="1"/>
                <w:color w:val="auto"/>
              </w:rPr>
              <w:t>MBbl per</w:t>
            </w:r>
          </w:p>
        </w:tc>
        <w:tc>
          <w:tcPr>
            <w:tcW w:w="84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$/Bbl</w:t>
            </w:r>
          </w:p>
        </w:tc>
        <w:tc>
          <w:tcPr>
            <w:tcW w:w="1160" w:type="dxa"/>
            <w:vAlign w:val="bottom"/>
            <w:gridSpan w:val="4"/>
          </w:tcPr>
          <w:p>
            <w:pPr>
              <w:jc w:val="center"/>
              <w:ind w:right="280"/>
              <w:spacing w:after="0" w:line="177" w:lineRule="exact"/>
              <w:rPr>
                <w:sz w:val="20"/>
                <w:szCs w:val="20"/>
                <w:color w:val="auto"/>
              </w:rPr>
            </w:pPr>
            <w:r>
              <w:rPr>
                <w:rFonts w:ascii="Arial" w:cs="Arial" w:eastAsia="Arial" w:hAnsi="Arial"/>
                <w:sz w:val="18"/>
                <w:szCs w:val="18"/>
                <w:b w:val="1"/>
                <w:bCs w:val="1"/>
                <w:color w:val="auto"/>
                <w:w w:val="98"/>
              </w:rPr>
              <w:t>MBbl per</w:t>
            </w:r>
          </w:p>
        </w:tc>
        <w:tc>
          <w:tcPr>
            <w:tcW w:w="80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$/Bbl</w:t>
            </w:r>
          </w:p>
        </w:tc>
        <w:tc>
          <w:tcPr>
            <w:tcW w:w="1160" w:type="dxa"/>
            <w:vAlign w:val="bottom"/>
            <w:gridSpan w:val="3"/>
          </w:tcPr>
          <w:p>
            <w:pPr>
              <w:jc w:val="center"/>
              <w:ind w:right="240"/>
              <w:spacing w:after="0" w:line="177" w:lineRule="exact"/>
              <w:rPr>
                <w:sz w:val="20"/>
                <w:szCs w:val="20"/>
                <w:color w:val="auto"/>
              </w:rPr>
            </w:pPr>
            <w:r>
              <w:rPr>
                <w:rFonts w:ascii="Arial" w:cs="Arial" w:eastAsia="Arial" w:hAnsi="Arial"/>
                <w:sz w:val="18"/>
                <w:szCs w:val="18"/>
                <w:b w:val="1"/>
                <w:bCs w:val="1"/>
                <w:color w:val="auto"/>
                <w:w w:val="99"/>
              </w:rPr>
              <w:t>MMcfe</w:t>
            </w:r>
          </w:p>
        </w:tc>
        <w:tc>
          <w:tcPr>
            <w:tcW w:w="74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w w:val="99"/>
              </w:rPr>
              <w:t>$/Mcfe</w:t>
            </w:r>
          </w:p>
        </w:tc>
        <w:tc>
          <w:tcPr>
            <w:tcW w:w="0" w:type="dxa"/>
            <w:vAlign w:val="bottom"/>
          </w:tcPr>
          <w:p>
            <w:pPr>
              <w:spacing w:after="0"/>
              <w:rPr>
                <w:sz w:val="1"/>
                <w:szCs w:val="1"/>
                <w:color w:val="auto"/>
              </w:rPr>
            </w:pPr>
          </w:p>
        </w:tc>
      </w:tr>
      <w:tr>
        <w:trPr>
          <w:trHeight w:val="235"/>
        </w:trPr>
        <w:tc>
          <w:tcPr>
            <w:tcW w:w="344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rPr>
              <w:t>day</w:t>
            </w:r>
          </w:p>
        </w:tc>
        <w:tc>
          <w:tcPr>
            <w:tcW w:w="100" w:type="dxa"/>
            <w:vAlign w:val="bottom"/>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114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6"/>
              </w:rPr>
              <w:t>day</w:t>
            </w:r>
          </w:p>
        </w:tc>
        <w:tc>
          <w:tcPr>
            <w:tcW w:w="840" w:type="dxa"/>
            <w:vAlign w:val="bottom"/>
            <w:gridSpan w:val="2"/>
            <w:vMerge w:val="continue"/>
          </w:tcPr>
          <w:p>
            <w:pPr>
              <w:spacing w:after="0"/>
              <w:rPr>
                <w:sz w:val="20"/>
                <w:szCs w:val="20"/>
                <w:color w:val="auto"/>
              </w:rPr>
            </w:pPr>
          </w:p>
        </w:tc>
        <w:tc>
          <w:tcPr>
            <w:tcW w:w="1160" w:type="dxa"/>
            <w:vAlign w:val="bottom"/>
            <w:gridSpan w:val="4"/>
          </w:tcPr>
          <w:p>
            <w:pPr>
              <w:jc w:val="center"/>
              <w:ind w:right="280"/>
              <w:spacing w:after="0"/>
              <w:rPr>
                <w:sz w:val="20"/>
                <w:szCs w:val="20"/>
                <w:color w:val="auto"/>
              </w:rPr>
            </w:pPr>
            <w:r>
              <w:rPr>
                <w:rFonts w:ascii="Arial" w:cs="Arial" w:eastAsia="Arial" w:hAnsi="Arial"/>
                <w:sz w:val="18"/>
                <w:szCs w:val="18"/>
                <w:b w:val="1"/>
                <w:bCs w:val="1"/>
                <w:color w:val="auto"/>
              </w:rPr>
              <w:t>day</w:t>
            </w:r>
          </w:p>
        </w:tc>
        <w:tc>
          <w:tcPr>
            <w:tcW w:w="800" w:type="dxa"/>
            <w:vAlign w:val="bottom"/>
            <w:gridSpan w:val="2"/>
            <w:vMerge w:val="continue"/>
          </w:tcPr>
          <w:p>
            <w:pPr>
              <w:spacing w:after="0"/>
              <w:rPr>
                <w:sz w:val="20"/>
                <w:szCs w:val="20"/>
                <w:color w:val="auto"/>
              </w:rPr>
            </w:pPr>
          </w:p>
        </w:tc>
        <w:tc>
          <w:tcPr>
            <w:tcW w:w="116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9"/>
              </w:rPr>
              <w:t>per day</w:t>
            </w:r>
          </w:p>
        </w:tc>
        <w:tc>
          <w:tcPr>
            <w:tcW w:w="7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44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Haynesville</w:t>
            </w:r>
          </w:p>
        </w:tc>
        <w:tc>
          <w:tcPr>
            <w:tcW w:w="8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3,206</w:t>
            </w:r>
          </w:p>
        </w:tc>
        <w:tc>
          <w:tcPr>
            <w:tcW w:w="100" w:type="dxa"/>
            <w:vAlign w:val="bottom"/>
            <w:tcBorders>
              <w:top w:val="single" w:sz="8" w:color="DBDBDB"/>
            </w:tcBorders>
            <w:shd w:val="clear" w:color="auto" w:fill="DBDBDB"/>
          </w:tcPr>
          <w:p>
            <w:pPr>
              <w:spacing w:after="0"/>
              <w:rPr>
                <w:sz w:val="19"/>
                <w:szCs w:val="19"/>
                <w:color w:val="auto"/>
              </w:rPr>
            </w:pPr>
          </w:p>
        </w:tc>
        <w:tc>
          <w:tcPr>
            <w:tcW w:w="8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Borders>
              <w:top w:val="single" w:sz="8" w:color="DBDBDB"/>
            </w:tcBorders>
            <w:shd w:val="clear" w:color="auto" w:fill="DBDBDB"/>
          </w:tcPr>
          <w:p>
            <w:pPr>
              <w:spacing w:after="0"/>
              <w:rPr>
                <w:sz w:val="19"/>
                <w:szCs w:val="19"/>
                <w:color w:val="auto"/>
              </w:rPr>
            </w:pPr>
          </w:p>
        </w:tc>
        <w:tc>
          <w:tcPr>
            <w:tcW w:w="8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auto"/>
            </w:tcBorders>
            <w:shd w:val="clear" w:color="auto" w:fill="DBDBDB"/>
          </w:tcPr>
          <w:p>
            <w:pPr>
              <w:spacing w:after="0"/>
              <w:rPr>
                <w:sz w:val="19"/>
                <w:szCs w:val="19"/>
                <w:color w:val="auto"/>
              </w:rPr>
            </w:pPr>
          </w:p>
        </w:tc>
        <w:tc>
          <w:tcPr>
            <w:tcW w:w="7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DBDBDB"/>
            </w:tcBorders>
            <w:shd w:val="clear" w:color="auto" w:fill="DBDBDB"/>
          </w:tcPr>
          <w:p>
            <w:pPr>
              <w:spacing w:after="0"/>
              <w:rPr>
                <w:sz w:val="19"/>
                <w:szCs w:val="19"/>
                <w:color w:val="auto"/>
              </w:rPr>
            </w:pPr>
          </w:p>
        </w:tc>
        <w:tc>
          <w:tcPr>
            <w:tcW w:w="340" w:type="dxa"/>
            <w:vAlign w:val="bottom"/>
            <w:tcBorders>
              <w:top w:val="single" w:sz="8" w:color="auto"/>
            </w:tcBorders>
            <w:shd w:val="clear" w:color="auto" w:fill="DBDBDB"/>
          </w:tcPr>
          <w:p>
            <w:pPr>
              <w:spacing w:after="0"/>
              <w:rPr>
                <w:sz w:val="19"/>
                <w:szCs w:val="19"/>
                <w:color w:val="auto"/>
              </w:rPr>
            </w:pPr>
          </w:p>
        </w:tc>
        <w:tc>
          <w:tcPr>
            <w:tcW w:w="5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auto"/>
            </w:tcBorders>
            <w:shd w:val="clear" w:color="auto" w:fill="DBDBDB"/>
          </w:tcPr>
          <w:p>
            <w:pPr>
              <w:spacing w:after="0"/>
              <w:rPr>
                <w:sz w:val="19"/>
                <w:szCs w:val="19"/>
                <w:color w:val="auto"/>
              </w:rPr>
            </w:pPr>
          </w:p>
        </w:tc>
        <w:tc>
          <w:tcPr>
            <w:tcW w:w="7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DBDBDB"/>
            </w:tcBorders>
            <w:shd w:val="clear" w:color="auto" w:fill="DBDBDB"/>
          </w:tcPr>
          <w:p>
            <w:pPr>
              <w:spacing w:after="0"/>
              <w:rPr>
                <w:sz w:val="19"/>
                <w:szCs w:val="19"/>
                <w:color w:val="auto"/>
              </w:rPr>
            </w:pPr>
          </w:p>
        </w:tc>
        <w:tc>
          <w:tcPr>
            <w:tcW w:w="9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3,206</w:t>
            </w:r>
          </w:p>
        </w:tc>
        <w:tc>
          <w:tcPr>
            <w:tcW w:w="100" w:type="dxa"/>
            <w:vAlign w:val="bottom"/>
            <w:tcBorders>
              <w:top w:val="single" w:sz="8" w:color="DBDBDB"/>
            </w:tcBorders>
            <w:shd w:val="clear" w:color="auto" w:fill="DBDBDB"/>
          </w:tcPr>
          <w:p>
            <w:pPr>
              <w:spacing w:after="0"/>
              <w:rPr>
                <w:sz w:val="19"/>
                <w:szCs w:val="19"/>
                <w:color w:val="auto"/>
              </w:rPr>
            </w:pPr>
          </w:p>
        </w:tc>
        <w:tc>
          <w:tcPr>
            <w:tcW w:w="160" w:type="dxa"/>
            <w:vAlign w:val="bottom"/>
            <w:tcBorders>
              <w:top w:val="single" w:sz="8" w:color="auto"/>
            </w:tcBorders>
            <w:shd w:val="clear" w:color="auto" w:fill="DBDBDB"/>
          </w:tcPr>
          <w:p>
            <w:pPr>
              <w:spacing w:after="0"/>
              <w:rPr>
                <w:sz w:val="19"/>
                <w:szCs w:val="19"/>
                <w:color w:val="auto"/>
              </w:rPr>
            </w:pPr>
          </w:p>
        </w:tc>
        <w:tc>
          <w:tcPr>
            <w:tcW w:w="7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29"/>
        </w:trPr>
        <w:tc>
          <w:tcPr>
            <w:tcW w:w="3440" w:type="dxa"/>
            <w:vAlign w:val="bottom"/>
          </w:tcPr>
          <w:p>
            <w:pPr>
              <w:ind w:left="20"/>
              <w:spacing w:after="0"/>
              <w:rPr>
                <w:sz w:val="20"/>
                <w:szCs w:val="20"/>
                <w:color w:val="auto"/>
              </w:rPr>
            </w:pPr>
            <w:r>
              <w:rPr>
                <w:rFonts w:ascii="Arial" w:cs="Arial" w:eastAsia="Arial" w:hAnsi="Arial"/>
                <w:sz w:val="18"/>
                <w:szCs w:val="18"/>
                <w:color w:val="auto"/>
              </w:rPr>
              <w:t>Northeast Appalachia</w:t>
            </w:r>
          </w:p>
        </w:tc>
        <w:tc>
          <w:tcPr>
            <w:tcW w:w="880" w:type="dxa"/>
            <w:vAlign w:val="bottom"/>
          </w:tcPr>
          <w:p>
            <w:pPr>
              <w:jc w:val="right"/>
              <w:spacing w:after="0"/>
              <w:rPr>
                <w:sz w:val="20"/>
                <w:szCs w:val="20"/>
                <w:color w:val="auto"/>
              </w:rPr>
            </w:pPr>
            <w:r>
              <w:rPr>
                <w:rFonts w:ascii="Arial" w:cs="Arial" w:eastAsia="Arial" w:hAnsi="Arial"/>
                <w:sz w:val="18"/>
                <w:szCs w:val="18"/>
                <w:color w:val="auto"/>
              </w:rPr>
              <w:t>2,556</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19"/>
                <w:szCs w:val="19"/>
                <w:color w:val="auto"/>
              </w:rPr>
            </w:pPr>
          </w:p>
        </w:tc>
        <w:tc>
          <w:tcPr>
            <w:tcW w:w="114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2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2,556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30"/>
        </w:trPr>
        <w:tc>
          <w:tcPr>
            <w:tcW w:w="3440" w:type="dxa"/>
            <w:vAlign w:val="bottom"/>
            <w:shd w:val="clear" w:color="auto" w:fill="DBDBDB"/>
          </w:tcPr>
          <w:p>
            <w:pPr>
              <w:ind w:left="20"/>
              <w:spacing w:after="0"/>
              <w:rPr>
                <w:sz w:val="20"/>
                <w:szCs w:val="20"/>
                <w:color w:val="auto"/>
              </w:rPr>
            </w:pPr>
            <w:r>
              <w:rPr>
                <w:rFonts w:ascii="Arial" w:cs="Arial" w:eastAsia="Arial" w:hAnsi="Arial"/>
                <w:sz w:val="18"/>
                <w:szCs w:val="18"/>
                <w:color w:val="auto"/>
              </w:rPr>
              <w:t>Southwest Appalachia</w:t>
            </w: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959</w:t>
            </w:r>
          </w:p>
        </w:tc>
        <w:tc>
          <w:tcPr>
            <w:tcW w:w="98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2.64</w:t>
            </w:r>
          </w:p>
        </w:tc>
        <w:tc>
          <w:tcPr>
            <w:tcW w:w="100" w:type="dxa"/>
            <w:vAlign w:val="bottom"/>
            <w:shd w:val="clear" w:color="auto" w:fill="DBDBDB"/>
          </w:tcPr>
          <w:p>
            <w:pPr>
              <w:spacing w:after="0"/>
              <w:rPr>
                <w:sz w:val="19"/>
                <w:szCs w:val="19"/>
                <w:color w:val="auto"/>
              </w:rPr>
            </w:pP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53.50</w:t>
            </w:r>
          </w:p>
        </w:tc>
        <w:tc>
          <w:tcPr>
            <w:tcW w:w="100" w:type="dxa"/>
            <w:vAlign w:val="bottom"/>
            <w:shd w:val="clear" w:color="auto" w:fill="DBDBDB"/>
          </w:tcPr>
          <w:p>
            <w:pPr>
              <w:spacing w:after="0"/>
              <w:rPr>
                <w:sz w:val="19"/>
                <w:szCs w:val="19"/>
                <w:color w:val="auto"/>
              </w:rPr>
            </w:pPr>
          </w:p>
        </w:tc>
        <w:tc>
          <w:tcPr>
            <w:tcW w:w="880" w:type="dxa"/>
            <w:vAlign w:val="bottom"/>
            <w:tcBorders>
              <w:bottom w:val="single" w:sz="8" w:color="auto"/>
            </w:tcBorders>
            <w:gridSpan w:val="2"/>
            <w:shd w:val="clear" w:color="auto" w:fill="DBDBDB"/>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21.40</w:t>
            </w:r>
          </w:p>
        </w:tc>
        <w:tc>
          <w:tcPr>
            <w:tcW w:w="100" w:type="dxa"/>
            <w:vAlign w:val="bottom"/>
            <w:shd w:val="clear" w:color="auto" w:fill="DBDBDB"/>
          </w:tcPr>
          <w:p>
            <w:pPr>
              <w:spacing w:after="0"/>
              <w:rPr>
                <w:sz w:val="19"/>
                <w:szCs w:val="19"/>
                <w:color w:val="auto"/>
              </w:rPr>
            </w:pP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1,571</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23"/>
        </w:trPr>
        <w:tc>
          <w:tcPr>
            <w:tcW w:w="3440" w:type="dxa"/>
            <w:vAlign w:val="bottom"/>
          </w:tcPr>
          <w:p>
            <w:pPr>
              <w:ind w:left="240"/>
              <w:spacing w:after="0"/>
              <w:rPr>
                <w:sz w:val="20"/>
                <w:szCs w:val="20"/>
                <w:color w:val="auto"/>
              </w:rPr>
            </w:pPr>
            <w:r>
              <w:rPr>
                <w:rFonts w:ascii="Arial" w:cs="Arial" w:eastAsia="Arial" w:hAnsi="Arial"/>
                <w:sz w:val="18"/>
                <w:szCs w:val="18"/>
                <w:color w:val="auto"/>
              </w:rPr>
              <w:t>Total</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6,721</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53.50</w:t>
            </w:r>
          </w:p>
        </w:tc>
        <w:tc>
          <w:tcPr>
            <w:tcW w:w="100" w:type="dxa"/>
            <w:vAlign w:val="bottom"/>
          </w:tcPr>
          <w:p>
            <w:pPr>
              <w:spacing w:after="0"/>
              <w:rPr>
                <w:sz w:val="19"/>
                <w:szCs w:val="19"/>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21.40</w:t>
            </w:r>
          </w:p>
        </w:tc>
        <w:tc>
          <w:tcPr>
            <w:tcW w:w="10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34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3440" w:type="dxa"/>
            <w:vAlign w:val="bottom"/>
            <w:shd w:val="clear" w:color="auto" w:fill="DBDBDB"/>
          </w:tcPr>
          <w:p>
            <w:pPr>
              <w:ind w:left="20"/>
              <w:spacing w:after="0"/>
              <w:rPr>
                <w:sz w:val="20"/>
                <w:szCs w:val="20"/>
                <w:color w:val="auto"/>
              </w:rPr>
            </w:pPr>
            <w:r>
              <w:rPr>
                <w:rFonts w:ascii="Arial" w:cs="Arial" w:eastAsia="Arial" w:hAnsi="Arial"/>
                <w:sz w:val="18"/>
                <w:szCs w:val="18"/>
                <w:color w:val="auto"/>
              </w:rPr>
              <w:t>Average NYMEX Price</w:t>
            </w:r>
          </w:p>
        </w:tc>
        <w:tc>
          <w:tcPr>
            <w:tcW w:w="880" w:type="dxa"/>
            <w:vAlign w:val="bottom"/>
            <w:shd w:val="clear" w:color="auto" w:fill="DBDBDB"/>
          </w:tcPr>
          <w:p>
            <w:pPr>
              <w:spacing w:after="0"/>
              <w:rPr>
                <w:sz w:val="19"/>
                <w:szCs w:val="19"/>
                <w:color w:val="auto"/>
              </w:rPr>
            </w:pPr>
          </w:p>
        </w:tc>
        <w:tc>
          <w:tcPr>
            <w:tcW w:w="98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3.07</w:t>
            </w:r>
          </w:p>
        </w:tc>
        <w:tc>
          <w:tcPr>
            <w:tcW w:w="100" w:type="dxa"/>
            <w:vAlign w:val="bottom"/>
            <w:shd w:val="clear" w:color="auto" w:fill="DBDBDB"/>
          </w:tcPr>
          <w:p>
            <w:pPr>
              <w:spacing w:after="0"/>
              <w:rPr>
                <w:sz w:val="19"/>
                <w:szCs w:val="19"/>
                <w:color w:val="auto"/>
              </w:rPr>
            </w:pPr>
          </w:p>
        </w:tc>
        <w:tc>
          <w:tcPr>
            <w:tcW w:w="8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64.93</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5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7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9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74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3440" w:type="dxa"/>
            <w:vAlign w:val="bottom"/>
          </w:tcPr>
          <w:p>
            <w:pPr>
              <w:ind w:left="20"/>
              <w:spacing w:after="0" w:line="183" w:lineRule="exact"/>
              <w:rPr>
                <w:sz w:val="20"/>
                <w:szCs w:val="20"/>
                <w:color w:val="auto"/>
              </w:rPr>
            </w:pPr>
            <w:r>
              <w:rPr>
                <w:rFonts w:ascii="Arial" w:cs="Arial" w:eastAsia="Arial" w:hAnsi="Arial"/>
                <w:sz w:val="18"/>
                <w:szCs w:val="18"/>
                <w:color w:val="auto"/>
              </w:rPr>
              <w:t>Average Realized Price (including</w:t>
            </w:r>
          </w:p>
        </w:tc>
        <w:tc>
          <w:tcPr>
            <w:tcW w:w="880" w:type="dxa"/>
            <w:vAlign w:val="bottom"/>
          </w:tcPr>
          <w:p>
            <w:pPr>
              <w:spacing w:after="0"/>
              <w:rPr>
                <w:sz w:val="15"/>
                <w:szCs w:val="15"/>
                <w:color w:val="auto"/>
              </w:rPr>
            </w:pPr>
          </w:p>
        </w:tc>
        <w:tc>
          <w:tcPr>
            <w:tcW w:w="980" w:type="dxa"/>
            <w:vAlign w:val="bottom"/>
            <w:gridSpan w:val="2"/>
            <w:vMerge w:val="restart"/>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54.66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21.62</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39"/>
        </w:trPr>
        <w:tc>
          <w:tcPr>
            <w:tcW w:w="3440" w:type="dxa"/>
            <w:vAlign w:val="bottom"/>
          </w:tcPr>
          <w:p>
            <w:pPr>
              <w:ind w:left="20"/>
              <w:spacing w:after="0"/>
              <w:rPr>
                <w:sz w:val="20"/>
                <w:szCs w:val="20"/>
                <w:color w:val="auto"/>
              </w:rPr>
            </w:pPr>
            <w:r>
              <w:rPr>
                <w:rFonts w:ascii="Arial" w:cs="Arial" w:eastAsia="Arial" w:hAnsi="Arial"/>
                <w:sz w:val="18"/>
                <w:szCs w:val="18"/>
                <w:color w:val="auto"/>
              </w:rPr>
              <w:t>realized derivatives)</w:t>
            </w:r>
          </w:p>
        </w:tc>
        <w:tc>
          <w:tcPr>
            <w:tcW w:w="880" w:type="dxa"/>
            <w:vAlign w:val="bottom"/>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98"/>
        </w:trPr>
        <w:tc>
          <w:tcPr>
            <w:tcW w:w="344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gridSpan w:val="11"/>
          </w:tcPr>
          <w:p>
            <w:pPr>
              <w:jc w:val="center"/>
              <w:ind w:right="60"/>
              <w:spacing w:after="0"/>
              <w:rPr>
                <w:sz w:val="20"/>
                <w:szCs w:val="20"/>
                <w:color w:val="auto"/>
              </w:rPr>
            </w:pPr>
            <w:r>
              <w:rPr>
                <w:rFonts w:ascii="Arial" w:cs="Arial" w:eastAsia="Arial" w:hAnsi="Arial"/>
                <w:sz w:val="18"/>
                <w:szCs w:val="18"/>
                <w:b w:val="1"/>
                <w:bCs w:val="1"/>
                <w:color w:val="auto"/>
                <w:w w:val="99"/>
              </w:rPr>
              <w:t>Nine Months Ended September 30, 2026</w:t>
            </w: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440" w:type="dxa"/>
            <w:vAlign w:val="bottom"/>
          </w:tcPr>
          <w:p>
            <w:pPr>
              <w:spacing w:after="0"/>
              <w:rPr>
                <w:sz w:val="19"/>
                <w:szCs w:val="19"/>
                <w:color w:val="auto"/>
              </w:rPr>
            </w:pPr>
          </w:p>
        </w:tc>
        <w:tc>
          <w:tcPr>
            <w:tcW w:w="186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8"/>
                <w:szCs w:val="18"/>
                <w:b w:val="1"/>
                <w:bCs w:val="1"/>
                <w:color w:val="auto"/>
              </w:rPr>
              <w:t>Natural Gas</w:t>
            </w:r>
          </w:p>
        </w:tc>
        <w:tc>
          <w:tcPr>
            <w:tcW w:w="100" w:type="dxa"/>
            <w:vAlign w:val="bottom"/>
          </w:tcPr>
          <w:p>
            <w:pPr>
              <w:spacing w:after="0"/>
              <w:rPr>
                <w:sz w:val="19"/>
                <w:szCs w:val="19"/>
                <w:color w:val="auto"/>
              </w:rPr>
            </w:pPr>
          </w:p>
        </w:tc>
        <w:tc>
          <w:tcPr>
            <w:tcW w:w="1140" w:type="dxa"/>
            <w:vAlign w:val="bottom"/>
            <w:tcBorders>
              <w:bottom w:val="single" w:sz="8" w:color="auto"/>
            </w:tcBorders>
            <w:gridSpan w:val="3"/>
          </w:tcPr>
          <w:p>
            <w:pPr>
              <w:ind w:left="820"/>
              <w:spacing w:after="0"/>
              <w:rPr>
                <w:sz w:val="20"/>
                <w:szCs w:val="20"/>
                <w:color w:val="auto"/>
              </w:rPr>
            </w:pPr>
            <w:r>
              <w:rPr>
                <w:rFonts w:ascii="Arial" w:cs="Arial" w:eastAsia="Arial" w:hAnsi="Arial"/>
                <w:sz w:val="18"/>
                <w:szCs w:val="18"/>
                <w:b w:val="1"/>
                <w:bCs w:val="1"/>
                <w:color w:val="auto"/>
              </w:rPr>
              <w:t>Oil</w:t>
            </w:r>
          </w:p>
        </w:tc>
        <w:tc>
          <w:tcPr>
            <w:tcW w:w="7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3"/>
          </w:tcPr>
          <w:p>
            <w:pPr>
              <w:ind w:left="400"/>
              <w:spacing w:after="0"/>
              <w:rPr>
                <w:sz w:val="20"/>
                <w:szCs w:val="20"/>
                <w:color w:val="auto"/>
              </w:rPr>
            </w:pPr>
            <w:r>
              <w:rPr>
                <w:rFonts w:ascii="Arial" w:cs="Arial" w:eastAsia="Arial" w:hAnsi="Arial"/>
                <w:sz w:val="18"/>
                <w:szCs w:val="18"/>
                <w:b w:val="1"/>
                <w:bCs w:val="1"/>
                <w:color w:val="auto"/>
              </w:rPr>
              <w:t>NGL</w:t>
            </w:r>
          </w:p>
        </w:tc>
        <w:tc>
          <w:tcPr>
            <w:tcW w:w="7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Borders>
              <w:bottom w:val="single" w:sz="8" w:color="auto"/>
            </w:tcBorders>
            <w:gridSpan w:val="3"/>
          </w:tcPr>
          <w:p>
            <w:pPr>
              <w:ind w:left="740"/>
              <w:spacing w:after="0"/>
              <w:rPr>
                <w:sz w:val="20"/>
                <w:szCs w:val="20"/>
                <w:color w:val="auto"/>
              </w:rPr>
            </w:pPr>
            <w:r>
              <w:rPr>
                <w:rFonts w:ascii="Arial" w:cs="Arial" w:eastAsia="Arial" w:hAnsi="Arial"/>
                <w:sz w:val="18"/>
                <w:szCs w:val="18"/>
                <w:b w:val="1"/>
                <w:bCs w:val="1"/>
                <w:color w:val="auto"/>
                <w:w w:val="92"/>
              </w:rPr>
              <w:t>Total</w:t>
            </w:r>
          </w:p>
        </w:tc>
        <w:tc>
          <w:tcPr>
            <w:tcW w:w="7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440" w:type="dxa"/>
            <w:vAlign w:val="bottom"/>
          </w:tcPr>
          <w:p>
            <w:pPr>
              <w:spacing w:after="0"/>
              <w:rPr>
                <w:sz w:val="14"/>
                <w:szCs w:val="14"/>
                <w:color w:val="auto"/>
              </w:rPr>
            </w:pPr>
          </w:p>
        </w:tc>
        <w:tc>
          <w:tcPr>
            <w:tcW w:w="88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rPr>
              <w:t>MMcf per</w:t>
            </w:r>
          </w:p>
        </w:tc>
        <w:tc>
          <w:tcPr>
            <w:tcW w:w="100" w:type="dxa"/>
            <w:vAlign w:val="bottom"/>
          </w:tcPr>
          <w:p>
            <w:pPr>
              <w:spacing w:after="0"/>
              <w:rPr>
                <w:sz w:val="14"/>
                <w:szCs w:val="14"/>
                <w:color w:val="auto"/>
              </w:rPr>
            </w:pPr>
          </w:p>
        </w:tc>
        <w:tc>
          <w:tcPr>
            <w:tcW w:w="980" w:type="dxa"/>
            <w:vAlign w:val="bottom"/>
            <w:gridSpan w:val="2"/>
            <w:vMerge w:val="restart"/>
          </w:tcPr>
          <w:p>
            <w:pPr>
              <w:ind w:left="220"/>
              <w:spacing w:after="0"/>
              <w:rPr>
                <w:sz w:val="20"/>
                <w:szCs w:val="20"/>
                <w:color w:val="auto"/>
              </w:rPr>
            </w:pPr>
            <w:r>
              <w:rPr>
                <w:rFonts w:ascii="Arial" w:cs="Arial" w:eastAsia="Arial" w:hAnsi="Arial"/>
                <w:sz w:val="18"/>
                <w:szCs w:val="18"/>
                <w:b w:val="1"/>
                <w:bCs w:val="1"/>
                <w:color w:val="auto"/>
              </w:rPr>
              <w:t>$/Mcf</w:t>
            </w:r>
          </w:p>
        </w:tc>
        <w:tc>
          <w:tcPr>
            <w:tcW w:w="1140" w:type="dxa"/>
            <w:vAlign w:val="bottom"/>
            <w:gridSpan w:val="3"/>
          </w:tcPr>
          <w:p>
            <w:pPr>
              <w:jc w:val="center"/>
              <w:ind w:right="240"/>
              <w:spacing w:after="0" w:line="169" w:lineRule="exact"/>
              <w:rPr>
                <w:sz w:val="20"/>
                <w:szCs w:val="20"/>
                <w:color w:val="auto"/>
              </w:rPr>
            </w:pPr>
            <w:r>
              <w:rPr>
                <w:rFonts w:ascii="Arial" w:cs="Arial" w:eastAsia="Arial" w:hAnsi="Arial"/>
                <w:sz w:val="18"/>
                <w:szCs w:val="18"/>
                <w:b w:val="1"/>
                <w:bCs w:val="1"/>
                <w:color w:val="auto"/>
              </w:rPr>
              <w:t>MBbl per</w:t>
            </w:r>
          </w:p>
        </w:tc>
        <w:tc>
          <w:tcPr>
            <w:tcW w:w="84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$/Bbl</w:t>
            </w:r>
          </w:p>
        </w:tc>
        <w:tc>
          <w:tcPr>
            <w:tcW w:w="1160" w:type="dxa"/>
            <w:vAlign w:val="bottom"/>
            <w:gridSpan w:val="4"/>
          </w:tcPr>
          <w:p>
            <w:pPr>
              <w:jc w:val="center"/>
              <w:ind w:right="280"/>
              <w:spacing w:after="0" w:line="169" w:lineRule="exact"/>
              <w:rPr>
                <w:sz w:val="20"/>
                <w:szCs w:val="20"/>
                <w:color w:val="auto"/>
              </w:rPr>
            </w:pPr>
            <w:r>
              <w:rPr>
                <w:rFonts w:ascii="Arial" w:cs="Arial" w:eastAsia="Arial" w:hAnsi="Arial"/>
                <w:sz w:val="18"/>
                <w:szCs w:val="18"/>
                <w:b w:val="1"/>
                <w:bCs w:val="1"/>
                <w:color w:val="auto"/>
                <w:w w:val="98"/>
              </w:rPr>
              <w:t>MBbl per</w:t>
            </w:r>
          </w:p>
        </w:tc>
        <w:tc>
          <w:tcPr>
            <w:tcW w:w="80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$/Bbl</w:t>
            </w:r>
          </w:p>
        </w:tc>
        <w:tc>
          <w:tcPr>
            <w:tcW w:w="1160" w:type="dxa"/>
            <w:vAlign w:val="bottom"/>
            <w:gridSpan w:val="3"/>
          </w:tcPr>
          <w:p>
            <w:pPr>
              <w:jc w:val="center"/>
              <w:ind w:right="240"/>
              <w:spacing w:after="0" w:line="169" w:lineRule="exact"/>
              <w:rPr>
                <w:sz w:val="20"/>
                <w:szCs w:val="20"/>
                <w:color w:val="auto"/>
              </w:rPr>
            </w:pPr>
            <w:r>
              <w:rPr>
                <w:rFonts w:ascii="Arial" w:cs="Arial" w:eastAsia="Arial" w:hAnsi="Arial"/>
                <w:sz w:val="18"/>
                <w:szCs w:val="18"/>
                <w:b w:val="1"/>
                <w:bCs w:val="1"/>
                <w:color w:val="auto"/>
                <w:w w:val="99"/>
              </w:rPr>
              <w:t>MMcfe</w:t>
            </w:r>
          </w:p>
        </w:tc>
        <w:tc>
          <w:tcPr>
            <w:tcW w:w="74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w w:val="99"/>
              </w:rPr>
              <w:t>$/Mcfe</w:t>
            </w:r>
          </w:p>
        </w:tc>
        <w:tc>
          <w:tcPr>
            <w:tcW w:w="0" w:type="dxa"/>
            <w:vAlign w:val="bottom"/>
          </w:tcPr>
          <w:p>
            <w:pPr>
              <w:spacing w:after="0"/>
              <w:rPr>
                <w:sz w:val="1"/>
                <w:szCs w:val="1"/>
                <w:color w:val="auto"/>
              </w:rPr>
            </w:pPr>
          </w:p>
        </w:tc>
      </w:tr>
      <w:tr>
        <w:trPr>
          <w:trHeight w:val="243"/>
        </w:trPr>
        <w:tc>
          <w:tcPr>
            <w:tcW w:w="3440" w:type="dxa"/>
            <w:vAlign w:val="bottom"/>
          </w:tcPr>
          <w:p>
            <w:pPr>
              <w:spacing w:after="0"/>
              <w:rPr>
                <w:sz w:val="21"/>
                <w:szCs w:val="21"/>
                <w:color w:val="auto"/>
              </w:rPr>
            </w:pP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rPr>
              <w:t>day</w:t>
            </w:r>
          </w:p>
        </w:tc>
        <w:tc>
          <w:tcPr>
            <w:tcW w:w="100" w:type="dxa"/>
            <w:vAlign w:val="bottom"/>
          </w:tcPr>
          <w:p>
            <w:pPr>
              <w:spacing w:after="0"/>
              <w:rPr>
                <w:sz w:val="21"/>
                <w:szCs w:val="21"/>
                <w:color w:val="auto"/>
              </w:rPr>
            </w:pPr>
          </w:p>
        </w:tc>
        <w:tc>
          <w:tcPr>
            <w:tcW w:w="980" w:type="dxa"/>
            <w:vAlign w:val="bottom"/>
            <w:gridSpan w:val="2"/>
            <w:vMerge w:val="continue"/>
          </w:tcPr>
          <w:p>
            <w:pPr>
              <w:spacing w:after="0"/>
              <w:rPr>
                <w:sz w:val="21"/>
                <w:szCs w:val="21"/>
                <w:color w:val="auto"/>
              </w:rPr>
            </w:pPr>
          </w:p>
        </w:tc>
        <w:tc>
          <w:tcPr>
            <w:tcW w:w="114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6"/>
              </w:rPr>
              <w:t>day</w:t>
            </w:r>
          </w:p>
        </w:tc>
        <w:tc>
          <w:tcPr>
            <w:tcW w:w="840" w:type="dxa"/>
            <w:vAlign w:val="bottom"/>
            <w:gridSpan w:val="2"/>
            <w:vMerge w:val="continue"/>
          </w:tcPr>
          <w:p>
            <w:pPr>
              <w:spacing w:after="0"/>
              <w:rPr>
                <w:sz w:val="21"/>
                <w:szCs w:val="21"/>
                <w:color w:val="auto"/>
              </w:rPr>
            </w:pPr>
          </w:p>
        </w:tc>
        <w:tc>
          <w:tcPr>
            <w:tcW w:w="1160" w:type="dxa"/>
            <w:vAlign w:val="bottom"/>
            <w:gridSpan w:val="4"/>
          </w:tcPr>
          <w:p>
            <w:pPr>
              <w:jc w:val="center"/>
              <w:ind w:right="280"/>
              <w:spacing w:after="0"/>
              <w:rPr>
                <w:sz w:val="20"/>
                <w:szCs w:val="20"/>
                <w:color w:val="auto"/>
              </w:rPr>
            </w:pPr>
            <w:r>
              <w:rPr>
                <w:rFonts w:ascii="Arial" w:cs="Arial" w:eastAsia="Arial" w:hAnsi="Arial"/>
                <w:sz w:val="18"/>
                <w:szCs w:val="18"/>
                <w:b w:val="1"/>
                <w:bCs w:val="1"/>
                <w:color w:val="auto"/>
              </w:rPr>
              <w:t>day</w:t>
            </w:r>
          </w:p>
        </w:tc>
        <w:tc>
          <w:tcPr>
            <w:tcW w:w="800" w:type="dxa"/>
            <w:vAlign w:val="bottom"/>
            <w:gridSpan w:val="2"/>
            <w:vMerge w:val="continue"/>
          </w:tcPr>
          <w:p>
            <w:pPr>
              <w:spacing w:after="0"/>
              <w:rPr>
                <w:sz w:val="21"/>
                <w:szCs w:val="21"/>
                <w:color w:val="auto"/>
              </w:rPr>
            </w:pPr>
          </w:p>
        </w:tc>
        <w:tc>
          <w:tcPr>
            <w:tcW w:w="116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9"/>
              </w:rPr>
              <w:t>per day</w:t>
            </w:r>
          </w:p>
        </w:tc>
        <w:tc>
          <w:tcPr>
            <w:tcW w:w="7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44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Haynesville</w:t>
            </w:r>
          </w:p>
        </w:tc>
        <w:tc>
          <w:tcPr>
            <w:tcW w:w="8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3,171</w:t>
            </w:r>
          </w:p>
        </w:tc>
        <w:tc>
          <w:tcPr>
            <w:tcW w:w="100" w:type="dxa"/>
            <w:vAlign w:val="bottom"/>
            <w:tcBorders>
              <w:top w:val="single" w:sz="8" w:color="DBDBDB"/>
            </w:tcBorders>
            <w:shd w:val="clear" w:color="auto" w:fill="DBDBDB"/>
          </w:tcPr>
          <w:p>
            <w:pPr>
              <w:spacing w:after="0"/>
              <w:rPr>
                <w:sz w:val="19"/>
                <w:szCs w:val="19"/>
                <w:color w:val="auto"/>
              </w:rPr>
            </w:pPr>
          </w:p>
        </w:tc>
        <w:tc>
          <w:tcPr>
            <w:tcW w:w="8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3.22</w:t>
            </w:r>
          </w:p>
        </w:tc>
        <w:tc>
          <w:tcPr>
            <w:tcW w:w="100" w:type="dxa"/>
            <w:vAlign w:val="bottom"/>
            <w:tcBorders>
              <w:top w:val="single" w:sz="8" w:color="DBDBDB"/>
            </w:tcBorders>
            <w:shd w:val="clear" w:color="auto" w:fill="DBDBDB"/>
          </w:tcPr>
          <w:p>
            <w:pPr>
              <w:spacing w:after="0"/>
              <w:rPr>
                <w:sz w:val="19"/>
                <w:szCs w:val="19"/>
                <w:color w:val="auto"/>
              </w:rPr>
            </w:pPr>
          </w:p>
        </w:tc>
        <w:tc>
          <w:tcPr>
            <w:tcW w:w="8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auto"/>
            </w:tcBorders>
            <w:shd w:val="clear" w:color="auto" w:fill="DBDBDB"/>
          </w:tcPr>
          <w:p>
            <w:pPr>
              <w:spacing w:after="0"/>
              <w:rPr>
                <w:sz w:val="19"/>
                <w:szCs w:val="19"/>
                <w:color w:val="auto"/>
              </w:rPr>
            </w:pPr>
          </w:p>
        </w:tc>
        <w:tc>
          <w:tcPr>
            <w:tcW w:w="7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DBDBDB"/>
            </w:tcBorders>
            <w:shd w:val="clear" w:color="auto" w:fill="DBDBDB"/>
          </w:tcPr>
          <w:p>
            <w:pPr>
              <w:spacing w:after="0"/>
              <w:rPr>
                <w:sz w:val="19"/>
                <w:szCs w:val="19"/>
                <w:color w:val="auto"/>
              </w:rPr>
            </w:pPr>
          </w:p>
        </w:tc>
        <w:tc>
          <w:tcPr>
            <w:tcW w:w="340" w:type="dxa"/>
            <w:vAlign w:val="bottom"/>
            <w:tcBorders>
              <w:top w:val="single" w:sz="8" w:color="auto"/>
            </w:tcBorders>
            <w:shd w:val="clear" w:color="auto" w:fill="DBDBDB"/>
          </w:tcPr>
          <w:p>
            <w:pPr>
              <w:spacing w:after="0"/>
              <w:rPr>
                <w:sz w:val="19"/>
                <w:szCs w:val="19"/>
                <w:color w:val="auto"/>
              </w:rPr>
            </w:pPr>
          </w:p>
        </w:tc>
        <w:tc>
          <w:tcPr>
            <w:tcW w:w="5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auto"/>
            </w:tcBorders>
            <w:shd w:val="clear" w:color="auto" w:fill="DBDBDB"/>
          </w:tcPr>
          <w:p>
            <w:pPr>
              <w:spacing w:after="0"/>
              <w:rPr>
                <w:sz w:val="19"/>
                <w:szCs w:val="19"/>
                <w:color w:val="auto"/>
              </w:rPr>
            </w:pPr>
          </w:p>
        </w:tc>
        <w:tc>
          <w:tcPr>
            <w:tcW w:w="7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DBDBDB"/>
            </w:tcBorders>
            <w:shd w:val="clear" w:color="auto" w:fill="DBDBDB"/>
          </w:tcPr>
          <w:p>
            <w:pPr>
              <w:spacing w:after="0"/>
              <w:rPr>
                <w:sz w:val="19"/>
                <w:szCs w:val="19"/>
                <w:color w:val="auto"/>
              </w:rPr>
            </w:pPr>
          </w:p>
        </w:tc>
        <w:tc>
          <w:tcPr>
            <w:tcW w:w="9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3,171</w:t>
            </w:r>
          </w:p>
        </w:tc>
        <w:tc>
          <w:tcPr>
            <w:tcW w:w="100" w:type="dxa"/>
            <w:vAlign w:val="bottom"/>
            <w:tcBorders>
              <w:top w:val="single" w:sz="8" w:color="DBDBDB"/>
            </w:tcBorders>
            <w:shd w:val="clear" w:color="auto" w:fill="DBDBDB"/>
          </w:tcPr>
          <w:p>
            <w:pPr>
              <w:spacing w:after="0"/>
              <w:rPr>
                <w:sz w:val="19"/>
                <w:szCs w:val="19"/>
                <w:color w:val="auto"/>
              </w:rPr>
            </w:pPr>
          </w:p>
        </w:tc>
        <w:tc>
          <w:tcPr>
            <w:tcW w:w="160" w:type="dxa"/>
            <w:vAlign w:val="bottom"/>
            <w:tcBorders>
              <w:top w:val="single" w:sz="8" w:color="auto"/>
            </w:tcBorders>
            <w:shd w:val="clear" w:color="auto" w:fill="DBDBDB"/>
          </w:tcPr>
          <w:p>
            <w:pPr>
              <w:spacing w:after="0"/>
              <w:rPr>
                <w:sz w:val="19"/>
                <w:szCs w:val="19"/>
                <w:color w:val="auto"/>
              </w:rPr>
            </w:pPr>
          </w:p>
        </w:tc>
        <w:tc>
          <w:tcPr>
            <w:tcW w:w="7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30"/>
        </w:trPr>
        <w:tc>
          <w:tcPr>
            <w:tcW w:w="3440" w:type="dxa"/>
            <w:vAlign w:val="bottom"/>
          </w:tcPr>
          <w:p>
            <w:pPr>
              <w:ind w:left="20"/>
              <w:spacing w:after="0"/>
              <w:rPr>
                <w:sz w:val="20"/>
                <w:szCs w:val="20"/>
                <w:color w:val="auto"/>
              </w:rPr>
            </w:pPr>
            <w:r>
              <w:rPr>
                <w:rFonts w:ascii="Arial" w:cs="Arial" w:eastAsia="Arial" w:hAnsi="Arial"/>
                <w:sz w:val="18"/>
                <w:szCs w:val="18"/>
                <w:color w:val="auto"/>
              </w:rPr>
              <w:t>Northeast Appalachia</w:t>
            </w:r>
          </w:p>
        </w:tc>
        <w:tc>
          <w:tcPr>
            <w:tcW w:w="880" w:type="dxa"/>
            <w:vAlign w:val="bottom"/>
          </w:tcPr>
          <w:p>
            <w:pPr>
              <w:jc w:val="right"/>
              <w:spacing w:after="0"/>
              <w:rPr>
                <w:sz w:val="20"/>
                <w:szCs w:val="20"/>
                <w:color w:val="auto"/>
              </w:rPr>
            </w:pPr>
            <w:r>
              <w:rPr>
                <w:rFonts w:ascii="Arial" w:cs="Arial" w:eastAsia="Arial" w:hAnsi="Arial"/>
                <w:sz w:val="18"/>
                <w:szCs w:val="18"/>
                <w:color w:val="auto"/>
              </w:rPr>
              <w:t>2,667</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19"/>
                <w:szCs w:val="19"/>
                <w:color w:val="auto"/>
              </w:rPr>
            </w:pPr>
          </w:p>
        </w:tc>
        <w:tc>
          <w:tcPr>
            <w:tcW w:w="114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2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2,667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30"/>
        </w:trPr>
        <w:tc>
          <w:tcPr>
            <w:tcW w:w="3440" w:type="dxa"/>
            <w:vAlign w:val="bottom"/>
            <w:shd w:val="clear" w:color="auto" w:fill="DBDBDB"/>
          </w:tcPr>
          <w:p>
            <w:pPr>
              <w:ind w:left="20"/>
              <w:spacing w:after="0"/>
              <w:rPr>
                <w:sz w:val="20"/>
                <w:szCs w:val="20"/>
                <w:color w:val="auto"/>
              </w:rPr>
            </w:pPr>
            <w:r>
              <w:rPr>
                <w:rFonts w:ascii="Arial" w:cs="Arial" w:eastAsia="Arial" w:hAnsi="Arial"/>
                <w:sz w:val="18"/>
                <w:szCs w:val="18"/>
                <w:color w:val="auto"/>
              </w:rPr>
              <w:t>Southwest Appalachia</w:t>
            </w: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1,070</w:t>
            </w:r>
          </w:p>
        </w:tc>
        <w:tc>
          <w:tcPr>
            <w:tcW w:w="98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3.05</w:t>
            </w:r>
          </w:p>
        </w:tc>
        <w:tc>
          <w:tcPr>
            <w:tcW w:w="100" w:type="dxa"/>
            <w:vAlign w:val="bottom"/>
            <w:shd w:val="clear" w:color="auto" w:fill="DBDBDB"/>
          </w:tcPr>
          <w:p>
            <w:pPr>
              <w:spacing w:after="0"/>
              <w:rPr>
                <w:sz w:val="19"/>
                <w:szCs w:val="19"/>
                <w:color w:val="auto"/>
              </w:rPr>
            </w:pP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75.42</w:t>
            </w:r>
          </w:p>
        </w:tc>
        <w:tc>
          <w:tcPr>
            <w:tcW w:w="100" w:type="dxa"/>
            <w:vAlign w:val="bottom"/>
            <w:shd w:val="clear" w:color="auto" w:fill="DBDBDB"/>
          </w:tcPr>
          <w:p>
            <w:pPr>
              <w:spacing w:after="0"/>
              <w:rPr>
                <w:sz w:val="19"/>
                <w:szCs w:val="19"/>
                <w:color w:val="auto"/>
              </w:rPr>
            </w:pPr>
          </w:p>
        </w:tc>
        <w:tc>
          <w:tcPr>
            <w:tcW w:w="880" w:type="dxa"/>
            <w:vAlign w:val="bottom"/>
            <w:tcBorders>
              <w:bottom w:val="single" w:sz="8" w:color="auto"/>
            </w:tcBorders>
            <w:gridSpan w:val="2"/>
            <w:shd w:val="clear" w:color="auto" w:fill="DBDBDB"/>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25.92</w:t>
            </w:r>
          </w:p>
        </w:tc>
        <w:tc>
          <w:tcPr>
            <w:tcW w:w="100" w:type="dxa"/>
            <w:vAlign w:val="bottom"/>
            <w:shd w:val="clear" w:color="auto" w:fill="DBDBDB"/>
          </w:tcPr>
          <w:p>
            <w:pPr>
              <w:spacing w:after="0"/>
              <w:rPr>
                <w:sz w:val="19"/>
                <w:szCs w:val="19"/>
                <w:color w:val="auto"/>
              </w:rPr>
            </w:pP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1,648</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23"/>
        </w:trPr>
        <w:tc>
          <w:tcPr>
            <w:tcW w:w="3440" w:type="dxa"/>
            <w:vAlign w:val="bottom"/>
          </w:tcPr>
          <w:p>
            <w:pPr>
              <w:ind w:left="240"/>
              <w:spacing w:after="0"/>
              <w:rPr>
                <w:sz w:val="20"/>
                <w:szCs w:val="20"/>
                <w:color w:val="auto"/>
              </w:rPr>
            </w:pPr>
            <w:r>
              <w:rPr>
                <w:rFonts w:ascii="Arial" w:cs="Arial" w:eastAsia="Arial" w:hAnsi="Arial"/>
                <w:sz w:val="18"/>
                <w:szCs w:val="18"/>
                <w:color w:val="auto"/>
              </w:rPr>
              <w:t>Total</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6,908</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75.42</w:t>
            </w:r>
          </w:p>
        </w:tc>
        <w:tc>
          <w:tcPr>
            <w:tcW w:w="100" w:type="dxa"/>
            <w:vAlign w:val="bottom"/>
          </w:tcPr>
          <w:p>
            <w:pPr>
              <w:spacing w:after="0"/>
              <w:rPr>
                <w:sz w:val="19"/>
                <w:szCs w:val="19"/>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25.92</w:t>
            </w:r>
          </w:p>
        </w:tc>
        <w:tc>
          <w:tcPr>
            <w:tcW w:w="10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34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3440" w:type="dxa"/>
            <w:vAlign w:val="bottom"/>
            <w:shd w:val="clear" w:color="auto" w:fill="DBDBDB"/>
          </w:tcPr>
          <w:p>
            <w:pPr>
              <w:ind w:left="20"/>
              <w:spacing w:after="0"/>
              <w:rPr>
                <w:sz w:val="20"/>
                <w:szCs w:val="20"/>
                <w:color w:val="auto"/>
              </w:rPr>
            </w:pPr>
            <w:r>
              <w:rPr>
                <w:rFonts w:ascii="Arial" w:cs="Arial" w:eastAsia="Arial" w:hAnsi="Arial"/>
                <w:sz w:val="18"/>
                <w:szCs w:val="18"/>
                <w:color w:val="auto"/>
              </w:rPr>
              <w:t>Average NYMEX Price</w:t>
            </w:r>
          </w:p>
        </w:tc>
        <w:tc>
          <w:tcPr>
            <w:tcW w:w="880" w:type="dxa"/>
            <w:vAlign w:val="bottom"/>
            <w:shd w:val="clear" w:color="auto" w:fill="DBDBDB"/>
          </w:tcPr>
          <w:p>
            <w:pPr>
              <w:spacing w:after="0"/>
              <w:rPr>
                <w:sz w:val="19"/>
                <w:szCs w:val="19"/>
                <w:color w:val="auto"/>
              </w:rPr>
            </w:pPr>
          </w:p>
        </w:tc>
        <w:tc>
          <w:tcPr>
            <w:tcW w:w="98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3.63</w:t>
            </w:r>
          </w:p>
        </w:tc>
        <w:tc>
          <w:tcPr>
            <w:tcW w:w="100" w:type="dxa"/>
            <w:vAlign w:val="bottom"/>
            <w:shd w:val="clear" w:color="auto" w:fill="DBDBDB"/>
          </w:tcPr>
          <w:p>
            <w:pPr>
              <w:spacing w:after="0"/>
              <w:rPr>
                <w:sz w:val="19"/>
                <w:szCs w:val="19"/>
                <w:color w:val="auto"/>
              </w:rPr>
            </w:pPr>
          </w:p>
        </w:tc>
        <w:tc>
          <w:tcPr>
            <w:tcW w:w="8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83.50</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5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7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9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74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440" w:type="dxa"/>
            <w:vAlign w:val="bottom"/>
          </w:tcPr>
          <w:p>
            <w:pPr>
              <w:ind w:left="20"/>
              <w:spacing w:after="0" w:line="176" w:lineRule="exact"/>
              <w:rPr>
                <w:sz w:val="20"/>
                <w:szCs w:val="20"/>
                <w:color w:val="auto"/>
              </w:rPr>
            </w:pPr>
            <w:r>
              <w:rPr>
                <w:rFonts w:ascii="Arial" w:cs="Arial" w:eastAsia="Arial" w:hAnsi="Arial"/>
                <w:sz w:val="18"/>
                <w:szCs w:val="18"/>
                <w:color w:val="auto"/>
              </w:rPr>
              <w:t>Average Realized Price (including</w:t>
            </w:r>
          </w:p>
        </w:tc>
        <w:tc>
          <w:tcPr>
            <w:tcW w:w="880" w:type="dxa"/>
            <w:vAlign w:val="bottom"/>
          </w:tcPr>
          <w:p>
            <w:pPr>
              <w:spacing w:after="0"/>
              <w:rPr>
                <w:sz w:val="15"/>
                <w:szCs w:val="15"/>
                <w:color w:val="auto"/>
              </w:rPr>
            </w:pPr>
          </w:p>
        </w:tc>
        <w:tc>
          <w:tcPr>
            <w:tcW w:w="980" w:type="dxa"/>
            <w:vAlign w:val="bottom"/>
            <w:gridSpan w:val="2"/>
            <w:vMerge w:val="restart"/>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74.10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25.74</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47"/>
        </w:trPr>
        <w:tc>
          <w:tcPr>
            <w:tcW w:w="3440" w:type="dxa"/>
            <w:vAlign w:val="bottom"/>
          </w:tcPr>
          <w:p>
            <w:pPr>
              <w:ind w:left="20"/>
              <w:spacing w:after="0"/>
              <w:rPr>
                <w:sz w:val="20"/>
                <w:szCs w:val="20"/>
                <w:color w:val="auto"/>
              </w:rPr>
            </w:pPr>
            <w:r>
              <w:rPr>
                <w:rFonts w:ascii="Arial" w:cs="Arial" w:eastAsia="Arial" w:hAnsi="Arial"/>
                <w:sz w:val="18"/>
                <w:szCs w:val="18"/>
                <w:color w:val="auto"/>
              </w:rPr>
              <w:t>realized derivatives)</w:t>
            </w:r>
          </w:p>
        </w:tc>
        <w:tc>
          <w:tcPr>
            <w:tcW w:w="880" w:type="dxa"/>
            <w:vAlign w:val="bottom"/>
          </w:tcPr>
          <w:p>
            <w:pPr>
              <w:spacing w:after="0"/>
              <w:rPr>
                <w:sz w:val="21"/>
                <w:szCs w:val="21"/>
                <w:color w:val="auto"/>
              </w:rPr>
            </w:pPr>
          </w:p>
        </w:tc>
        <w:tc>
          <w:tcPr>
            <w:tcW w:w="980" w:type="dxa"/>
            <w:vAlign w:val="bottom"/>
            <w:gridSpan w:val="2"/>
            <w:vMerge w:val="continue"/>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440" w:right="339" w:bottom="1440" w:gutter="0" w:footer="0" w:header="0"/>
        </w:sectPr>
      </w:pPr>
    </w:p>
    <w:bookmarkStart w:id="11" w:name="page12"/>
    <w:bookmarkEnd w:id="11"/>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44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940" w:type="dxa"/>
            <w:vAlign w:val="bottom"/>
            <w:tcBorders>
              <w:bottom w:val="single" w:sz="8" w:color="auto"/>
            </w:tcBorders>
            <w:gridSpan w:val="10"/>
          </w:tcPr>
          <w:p>
            <w:pPr>
              <w:ind w:left="240"/>
              <w:spacing w:after="0"/>
              <w:rPr>
                <w:sz w:val="20"/>
                <w:szCs w:val="20"/>
                <w:color w:val="auto"/>
              </w:rPr>
            </w:pPr>
            <w:r>
              <w:rPr>
                <w:rFonts w:ascii="Arial" w:cs="Arial" w:eastAsia="Arial" w:hAnsi="Arial"/>
                <w:sz w:val="18"/>
                <w:szCs w:val="18"/>
                <w:b w:val="1"/>
                <w:bCs w:val="1"/>
                <w:color w:val="auto"/>
              </w:rPr>
              <w:t>Nine Months Ended September 30, 2025</w:t>
            </w: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440" w:type="dxa"/>
            <w:vAlign w:val="bottom"/>
          </w:tcPr>
          <w:p>
            <w:pPr>
              <w:spacing w:after="0"/>
              <w:rPr>
                <w:sz w:val="19"/>
                <w:szCs w:val="19"/>
                <w:color w:val="auto"/>
              </w:rPr>
            </w:pPr>
          </w:p>
        </w:tc>
        <w:tc>
          <w:tcPr>
            <w:tcW w:w="186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8"/>
                <w:szCs w:val="18"/>
                <w:b w:val="1"/>
                <w:bCs w:val="1"/>
                <w:color w:val="auto"/>
              </w:rPr>
              <w:t>Natural Gas</w:t>
            </w:r>
          </w:p>
        </w:tc>
        <w:tc>
          <w:tcPr>
            <w:tcW w:w="100" w:type="dxa"/>
            <w:vAlign w:val="bottom"/>
          </w:tcPr>
          <w:p>
            <w:pPr>
              <w:spacing w:after="0"/>
              <w:rPr>
                <w:sz w:val="19"/>
                <w:szCs w:val="19"/>
                <w:color w:val="auto"/>
              </w:rPr>
            </w:pPr>
          </w:p>
        </w:tc>
        <w:tc>
          <w:tcPr>
            <w:tcW w:w="1140" w:type="dxa"/>
            <w:vAlign w:val="bottom"/>
            <w:tcBorders>
              <w:bottom w:val="single" w:sz="8" w:color="auto"/>
            </w:tcBorders>
            <w:gridSpan w:val="3"/>
          </w:tcPr>
          <w:p>
            <w:pPr>
              <w:ind w:left="820"/>
              <w:spacing w:after="0"/>
              <w:rPr>
                <w:sz w:val="20"/>
                <w:szCs w:val="20"/>
                <w:color w:val="auto"/>
              </w:rPr>
            </w:pPr>
            <w:r>
              <w:rPr>
                <w:rFonts w:ascii="Arial" w:cs="Arial" w:eastAsia="Arial" w:hAnsi="Arial"/>
                <w:sz w:val="18"/>
                <w:szCs w:val="18"/>
                <w:b w:val="1"/>
                <w:bCs w:val="1"/>
                <w:color w:val="auto"/>
              </w:rPr>
              <w:t>Oil</w:t>
            </w:r>
          </w:p>
        </w:tc>
        <w:tc>
          <w:tcPr>
            <w:tcW w:w="7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Borders>
              <w:bottom w:val="single" w:sz="8" w:color="auto"/>
            </w:tcBorders>
            <w:gridSpan w:val="3"/>
          </w:tcPr>
          <w:p>
            <w:pPr>
              <w:ind w:left="740"/>
              <w:spacing w:after="0"/>
              <w:rPr>
                <w:sz w:val="20"/>
                <w:szCs w:val="20"/>
                <w:color w:val="auto"/>
              </w:rPr>
            </w:pPr>
            <w:r>
              <w:rPr>
                <w:rFonts w:ascii="Arial" w:cs="Arial" w:eastAsia="Arial" w:hAnsi="Arial"/>
                <w:sz w:val="18"/>
                <w:szCs w:val="18"/>
                <w:b w:val="1"/>
                <w:bCs w:val="1"/>
                <w:color w:val="auto"/>
              </w:rPr>
              <w:t>NGL</w:t>
            </w:r>
          </w:p>
        </w:tc>
        <w:tc>
          <w:tcPr>
            <w:tcW w:w="7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Borders>
              <w:bottom w:val="single" w:sz="8" w:color="auto"/>
            </w:tcBorders>
            <w:gridSpan w:val="3"/>
          </w:tcPr>
          <w:p>
            <w:pPr>
              <w:ind w:left="740"/>
              <w:spacing w:after="0"/>
              <w:rPr>
                <w:sz w:val="20"/>
                <w:szCs w:val="20"/>
                <w:color w:val="auto"/>
              </w:rPr>
            </w:pPr>
            <w:r>
              <w:rPr>
                <w:rFonts w:ascii="Arial" w:cs="Arial" w:eastAsia="Arial" w:hAnsi="Arial"/>
                <w:sz w:val="18"/>
                <w:szCs w:val="18"/>
                <w:b w:val="1"/>
                <w:bCs w:val="1"/>
                <w:color w:val="auto"/>
                <w:w w:val="92"/>
              </w:rPr>
              <w:t>Total</w:t>
            </w:r>
          </w:p>
        </w:tc>
        <w:tc>
          <w:tcPr>
            <w:tcW w:w="7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440" w:type="dxa"/>
            <w:vAlign w:val="bottom"/>
          </w:tcPr>
          <w:p>
            <w:pPr>
              <w:spacing w:after="0"/>
              <w:rPr>
                <w:sz w:val="14"/>
                <w:szCs w:val="14"/>
                <w:color w:val="auto"/>
              </w:rPr>
            </w:pPr>
          </w:p>
        </w:tc>
        <w:tc>
          <w:tcPr>
            <w:tcW w:w="880" w:type="dxa"/>
            <w:vAlign w:val="bottom"/>
          </w:tcPr>
          <w:p>
            <w:pPr>
              <w:jc w:val="right"/>
              <w:spacing w:after="0" w:line="169" w:lineRule="exact"/>
              <w:rPr>
                <w:sz w:val="20"/>
                <w:szCs w:val="20"/>
                <w:color w:val="auto"/>
              </w:rPr>
            </w:pPr>
            <w:r>
              <w:rPr>
                <w:rFonts w:ascii="Arial" w:cs="Arial" w:eastAsia="Arial" w:hAnsi="Arial"/>
                <w:sz w:val="18"/>
                <w:szCs w:val="18"/>
                <w:b w:val="1"/>
                <w:bCs w:val="1"/>
                <w:color w:val="auto"/>
              </w:rPr>
              <w:t>MMcf per</w:t>
            </w:r>
          </w:p>
        </w:tc>
        <w:tc>
          <w:tcPr>
            <w:tcW w:w="100" w:type="dxa"/>
            <w:vAlign w:val="bottom"/>
          </w:tcPr>
          <w:p>
            <w:pPr>
              <w:spacing w:after="0"/>
              <w:rPr>
                <w:sz w:val="14"/>
                <w:szCs w:val="14"/>
                <w:color w:val="auto"/>
              </w:rPr>
            </w:pPr>
          </w:p>
        </w:tc>
        <w:tc>
          <w:tcPr>
            <w:tcW w:w="980" w:type="dxa"/>
            <w:vAlign w:val="bottom"/>
            <w:gridSpan w:val="2"/>
            <w:vMerge w:val="restart"/>
          </w:tcPr>
          <w:p>
            <w:pPr>
              <w:ind w:left="220"/>
              <w:spacing w:after="0"/>
              <w:rPr>
                <w:sz w:val="20"/>
                <w:szCs w:val="20"/>
                <w:color w:val="auto"/>
              </w:rPr>
            </w:pPr>
            <w:r>
              <w:rPr>
                <w:rFonts w:ascii="Arial" w:cs="Arial" w:eastAsia="Arial" w:hAnsi="Arial"/>
                <w:sz w:val="18"/>
                <w:szCs w:val="18"/>
                <w:b w:val="1"/>
                <w:bCs w:val="1"/>
                <w:color w:val="auto"/>
              </w:rPr>
              <w:t>$/Mcf</w:t>
            </w:r>
          </w:p>
        </w:tc>
        <w:tc>
          <w:tcPr>
            <w:tcW w:w="1140" w:type="dxa"/>
            <w:vAlign w:val="bottom"/>
            <w:gridSpan w:val="3"/>
          </w:tcPr>
          <w:p>
            <w:pPr>
              <w:jc w:val="center"/>
              <w:ind w:right="240"/>
              <w:spacing w:after="0" w:line="169" w:lineRule="exact"/>
              <w:rPr>
                <w:sz w:val="20"/>
                <w:szCs w:val="20"/>
                <w:color w:val="auto"/>
              </w:rPr>
            </w:pPr>
            <w:r>
              <w:rPr>
                <w:rFonts w:ascii="Arial" w:cs="Arial" w:eastAsia="Arial" w:hAnsi="Arial"/>
                <w:sz w:val="18"/>
                <w:szCs w:val="18"/>
                <w:b w:val="1"/>
                <w:bCs w:val="1"/>
                <w:color w:val="auto"/>
              </w:rPr>
              <w:t>MBbl per</w:t>
            </w:r>
          </w:p>
        </w:tc>
        <w:tc>
          <w:tcPr>
            <w:tcW w:w="84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$/Bbl</w:t>
            </w:r>
          </w:p>
        </w:tc>
        <w:tc>
          <w:tcPr>
            <w:tcW w:w="1160" w:type="dxa"/>
            <w:vAlign w:val="bottom"/>
            <w:gridSpan w:val="3"/>
          </w:tcPr>
          <w:p>
            <w:pPr>
              <w:jc w:val="center"/>
              <w:ind w:right="280"/>
              <w:spacing w:after="0" w:line="169" w:lineRule="exact"/>
              <w:rPr>
                <w:sz w:val="20"/>
                <w:szCs w:val="20"/>
                <w:color w:val="auto"/>
              </w:rPr>
            </w:pPr>
            <w:r>
              <w:rPr>
                <w:rFonts w:ascii="Arial" w:cs="Arial" w:eastAsia="Arial" w:hAnsi="Arial"/>
                <w:sz w:val="18"/>
                <w:szCs w:val="18"/>
                <w:b w:val="1"/>
                <w:bCs w:val="1"/>
                <w:color w:val="auto"/>
                <w:w w:val="98"/>
              </w:rPr>
              <w:t>MBbl per</w:t>
            </w:r>
          </w:p>
        </w:tc>
        <w:tc>
          <w:tcPr>
            <w:tcW w:w="80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$/Bbl</w:t>
            </w:r>
          </w:p>
        </w:tc>
        <w:tc>
          <w:tcPr>
            <w:tcW w:w="1160" w:type="dxa"/>
            <w:vAlign w:val="bottom"/>
            <w:gridSpan w:val="3"/>
          </w:tcPr>
          <w:p>
            <w:pPr>
              <w:jc w:val="center"/>
              <w:ind w:right="240"/>
              <w:spacing w:after="0" w:line="169" w:lineRule="exact"/>
              <w:rPr>
                <w:sz w:val="20"/>
                <w:szCs w:val="20"/>
                <w:color w:val="auto"/>
              </w:rPr>
            </w:pPr>
            <w:r>
              <w:rPr>
                <w:rFonts w:ascii="Arial" w:cs="Arial" w:eastAsia="Arial" w:hAnsi="Arial"/>
                <w:sz w:val="18"/>
                <w:szCs w:val="18"/>
                <w:b w:val="1"/>
                <w:bCs w:val="1"/>
                <w:color w:val="auto"/>
                <w:w w:val="99"/>
              </w:rPr>
              <w:t>MMcfe</w:t>
            </w:r>
          </w:p>
        </w:tc>
        <w:tc>
          <w:tcPr>
            <w:tcW w:w="74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w w:val="99"/>
              </w:rPr>
              <w:t>$/Mcfe</w:t>
            </w:r>
          </w:p>
        </w:tc>
        <w:tc>
          <w:tcPr>
            <w:tcW w:w="0" w:type="dxa"/>
            <w:vAlign w:val="bottom"/>
          </w:tcPr>
          <w:p>
            <w:pPr>
              <w:spacing w:after="0"/>
              <w:rPr>
                <w:sz w:val="1"/>
                <w:szCs w:val="1"/>
                <w:color w:val="auto"/>
              </w:rPr>
            </w:pPr>
          </w:p>
        </w:tc>
      </w:tr>
      <w:tr>
        <w:trPr>
          <w:trHeight w:val="243"/>
        </w:trPr>
        <w:tc>
          <w:tcPr>
            <w:tcW w:w="3440" w:type="dxa"/>
            <w:vAlign w:val="bottom"/>
          </w:tcPr>
          <w:p>
            <w:pPr>
              <w:spacing w:after="0"/>
              <w:rPr>
                <w:sz w:val="21"/>
                <w:szCs w:val="21"/>
                <w:color w:val="auto"/>
              </w:rPr>
            </w:pPr>
          </w:p>
        </w:tc>
        <w:tc>
          <w:tcPr>
            <w:tcW w:w="880" w:type="dxa"/>
            <w:vAlign w:val="bottom"/>
          </w:tcPr>
          <w:p>
            <w:pPr>
              <w:jc w:val="right"/>
              <w:ind w:right="190"/>
              <w:spacing w:after="0"/>
              <w:rPr>
                <w:sz w:val="20"/>
                <w:szCs w:val="20"/>
                <w:color w:val="auto"/>
              </w:rPr>
            </w:pPr>
            <w:r>
              <w:rPr>
                <w:rFonts w:ascii="Arial" w:cs="Arial" w:eastAsia="Arial" w:hAnsi="Arial"/>
                <w:sz w:val="18"/>
                <w:szCs w:val="18"/>
                <w:b w:val="1"/>
                <w:bCs w:val="1"/>
                <w:color w:val="auto"/>
              </w:rPr>
              <w:t>day</w:t>
            </w:r>
          </w:p>
        </w:tc>
        <w:tc>
          <w:tcPr>
            <w:tcW w:w="100" w:type="dxa"/>
            <w:vAlign w:val="bottom"/>
          </w:tcPr>
          <w:p>
            <w:pPr>
              <w:spacing w:after="0"/>
              <w:rPr>
                <w:sz w:val="21"/>
                <w:szCs w:val="21"/>
                <w:color w:val="auto"/>
              </w:rPr>
            </w:pPr>
          </w:p>
        </w:tc>
        <w:tc>
          <w:tcPr>
            <w:tcW w:w="980" w:type="dxa"/>
            <w:vAlign w:val="bottom"/>
            <w:gridSpan w:val="2"/>
            <w:vMerge w:val="continue"/>
          </w:tcPr>
          <w:p>
            <w:pPr>
              <w:spacing w:after="0"/>
              <w:rPr>
                <w:sz w:val="21"/>
                <w:szCs w:val="21"/>
                <w:color w:val="auto"/>
              </w:rPr>
            </w:pPr>
          </w:p>
        </w:tc>
        <w:tc>
          <w:tcPr>
            <w:tcW w:w="114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6"/>
              </w:rPr>
              <w:t>day</w:t>
            </w:r>
          </w:p>
        </w:tc>
        <w:tc>
          <w:tcPr>
            <w:tcW w:w="840" w:type="dxa"/>
            <w:vAlign w:val="bottom"/>
            <w:gridSpan w:val="2"/>
            <w:vMerge w:val="continue"/>
          </w:tcPr>
          <w:p>
            <w:pPr>
              <w:spacing w:after="0"/>
              <w:rPr>
                <w:sz w:val="21"/>
                <w:szCs w:val="21"/>
                <w:color w:val="auto"/>
              </w:rPr>
            </w:pPr>
          </w:p>
        </w:tc>
        <w:tc>
          <w:tcPr>
            <w:tcW w:w="116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rPr>
              <w:t>day</w:t>
            </w:r>
          </w:p>
        </w:tc>
        <w:tc>
          <w:tcPr>
            <w:tcW w:w="800" w:type="dxa"/>
            <w:vAlign w:val="bottom"/>
            <w:gridSpan w:val="2"/>
            <w:vMerge w:val="continue"/>
          </w:tcPr>
          <w:p>
            <w:pPr>
              <w:spacing w:after="0"/>
              <w:rPr>
                <w:sz w:val="21"/>
                <w:szCs w:val="21"/>
                <w:color w:val="auto"/>
              </w:rPr>
            </w:pPr>
          </w:p>
        </w:tc>
        <w:tc>
          <w:tcPr>
            <w:tcW w:w="116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9"/>
              </w:rPr>
              <w:t>per day</w:t>
            </w:r>
          </w:p>
        </w:tc>
        <w:tc>
          <w:tcPr>
            <w:tcW w:w="7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44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Haynesville</w:t>
            </w:r>
          </w:p>
        </w:tc>
        <w:tc>
          <w:tcPr>
            <w:tcW w:w="8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2,935</w:t>
            </w:r>
          </w:p>
        </w:tc>
        <w:tc>
          <w:tcPr>
            <w:tcW w:w="100" w:type="dxa"/>
            <w:vAlign w:val="bottom"/>
            <w:tcBorders>
              <w:top w:val="single" w:sz="8" w:color="DBDBDB"/>
            </w:tcBorders>
            <w:shd w:val="clear" w:color="auto" w:fill="DBDBDB"/>
          </w:tcPr>
          <w:p>
            <w:pPr>
              <w:spacing w:after="0"/>
              <w:rPr>
                <w:sz w:val="19"/>
                <w:szCs w:val="19"/>
                <w:color w:val="auto"/>
              </w:rPr>
            </w:pPr>
          </w:p>
        </w:tc>
        <w:tc>
          <w:tcPr>
            <w:tcW w:w="8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3.11</w:t>
            </w:r>
          </w:p>
        </w:tc>
        <w:tc>
          <w:tcPr>
            <w:tcW w:w="100" w:type="dxa"/>
            <w:vAlign w:val="bottom"/>
            <w:tcBorders>
              <w:top w:val="single" w:sz="8" w:color="DBDBDB"/>
            </w:tcBorders>
            <w:shd w:val="clear" w:color="auto" w:fill="DBDBDB"/>
          </w:tcPr>
          <w:p>
            <w:pPr>
              <w:spacing w:after="0"/>
              <w:rPr>
                <w:sz w:val="19"/>
                <w:szCs w:val="19"/>
                <w:color w:val="auto"/>
              </w:rPr>
            </w:pPr>
          </w:p>
        </w:tc>
        <w:tc>
          <w:tcPr>
            <w:tcW w:w="8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auto"/>
            </w:tcBorders>
            <w:shd w:val="clear" w:color="auto" w:fill="DBDBDB"/>
          </w:tcPr>
          <w:p>
            <w:pPr>
              <w:spacing w:after="0"/>
              <w:rPr>
                <w:sz w:val="19"/>
                <w:szCs w:val="19"/>
                <w:color w:val="auto"/>
              </w:rPr>
            </w:pPr>
          </w:p>
        </w:tc>
        <w:tc>
          <w:tcPr>
            <w:tcW w:w="7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DBDBDB"/>
            </w:tcBorders>
            <w:shd w:val="clear" w:color="auto" w:fill="DBDBDB"/>
          </w:tcPr>
          <w:p>
            <w:pPr>
              <w:spacing w:after="0"/>
              <w:rPr>
                <w:sz w:val="19"/>
                <w:szCs w:val="19"/>
                <w:color w:val="auto"/>
              </w:rPr>
            </w:pPr>
          </w:p>
        </w:tc>
        <w:tc>
          <w:tcPr>
            <w:tcW w:w="8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auto"/>
            </w:tcBorders>
            <w:shd w:val="clear" w:color="auto" w:fill="DBDBDB"/>
          </w:tcPr>
          <w:p>
            <w:pPr>
              <w:spacing w:after="0"/>
              <w:rPr>
                <w:sz w:val="19"/>
                <w:szCs w:val="19"/>
                <w:color w:val="auto"/>
              </w:rPr>
            </w:pPr>
          </w:p>
        </w:tc>
        <w:tc>
          <w:tcPr>
            <w:tcW w:w="7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DBDBDB"/>
            </w:tcBorders>
            <w:shd w:val="clear" w:color="auto" w:fill="DBDBDB"/>
          </w:tcPr>
          <w:p>
            <w:pPr>
              <w:spacing w:after="0"/>
              <w:rPr>
                <w:sz w:val="19"/>
                <w:szCs w:val="19"/>
                <w:color w:val="auto"/>
              </w:rPr>
            </w:pPr>
          </w:p>
        </w:tc>
        <w:tc>
          <w:tcPr>
            <w:tcW w:w="9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2,935</w:t>
            </w:r>
          </w:p>
        </w:tc>
        <w:tc>
          <w:tcPr>
            <w:tcW w:w="100" w:type="dxa"/>
            <w:vAlign w:val="bottom"/>
            <w:tcBorders>
              <w:top w:val="single" w:sz="8" w:color="DBDBDB"/>
            </w:tcBorders>
            <w:shd w:val="clear" w:color="auto" w:fill="DBDBDB"/>
          </w:tcPr>
          <w:p>
            <w:pPr>
              <w:spacing w:after="0"/>
              <w:rPr>
                <w:sz w:val="19"/>
                <w:szCs w:val="19"/>
                <w:color w:val="auto"/>
              </w:rPr>
            </w:pPr>
          </w:p>
        </w:tc>
        <w:tc>
          <w:tcPr>
            <w:tcW w:w="160" w:type="dxa"/>
            <w:vAlign w:val="bottom"/>
            <w:tcBorders>
              <w:top w:val="single" w:sz="8" w:color="auto"/>
            </w:tcBorders>
            <w:shd w:val="clear" w:color="auto" w:fill="DBDBDB"/>
          </w:tcPr>
          <w:p>
            <w:pPr>
              <w:spacing w:after="0"/>
              <w:rPr>
                <w:sz w:val="19"/>
                <w:szCs w:val="19"/>
                <w:color w:val="auto"/>
              </w:rPr>
            </w:pPr>
          </w:p>
        </w:tc>
        <w:tc>
          <w:tcPr>
            <w:tcW w:w="7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29"/>
        </w:trPr>
        <w:tc>
          <w:tcPr>
            <w:tcW w:w="3440" w:type="dxa"/>
            <w:vAlign w:val="bottom"/>
          </w:tcPr>
          <w:p>
            <w:pPr>
              <w:ind w:left="20"/>
              <w:spacing w:after="0"/>
              <w:rPr>
                <w:sz w:val="20"/>
                <w:szCs w:val="20"/>
                <w:color w:val="auto"/>
              </w:rPr>
            </w:pPr>
            <w:r>
              <w:rPr>
                <w:rFonts w:ascii="Arial" w:cs="Arial" w:eastAsia="Arial" w:hAnsi="Arial"/>
                <w:sz w:val="18"/>
                <w:szCs w:val="18"/>
                <w:color w:val="auto"/>
              </w:rPr>
              <w:t>Northeast Appalachia</w:t>
            </w:r>
          </w:p>
        </w:tc>
        <w:tc>
          <w:tcPr>
            <w:tcW w:w="880" w:type="dxa"/>
            <w:vAlign w:val="bottom"/>
          </w:tcPr>
          <w:p>
            <w:pPr>
              <w:jc w:val="right"/>
              <w:spacing w:after="0"/>
              <w:rPr>
                <w:sz w:val="20"/>
                <w:szCs w:val="20"/>
                <w:color w:val="auto"/>
              </w:rPr>
            </w:pPr>
            <w:r>
              <w:rPr>
                <w:rFonts w:ascii="Arial" w:cs="Arial" w:eastAsia="Arial" w:hAnsi="Arial"/>
                <w:sz w:val="18"/>
                <w:szCs w:val="18"/>
                <w:color w:val="auto"/>
              </w:rPr>
              <w:t>2,628</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19"/>
                <w:szCs w:val="19"/>
                <w:color w:val="auto"/>
              </w:rPr>
            </w:pPr>
          </w:p>
        </w:tc>
        <w:tc>
          <w:tcPr>
            <w:tcW w:w="114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2,628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30"/>
        </w:trPr>
        <w:tc>
          <w:tcPr>
            <w:tcW w:w="3440" w:type="dxa"/>
            <w:vAlign w:val="bottom"/>
            <w:shd w:val="clear" w:color="auto" w:fill="DBDBDB"/>
          </w:tcPr>
          <w:p>
            <w:pPr>
              <w:ind w:left="20"/>
              <w:spacing w:after="0"/>
              <w:rPr>
                <w:sz w:val="20"/>
                <w:szCs w:val="20"/>
                <w:color w:val="auto"/>
              </w:rPr>
            </w:pPr>
            <w:r>
              <w:rPr>
                <w:rFonts w:ascii="Arial" w:cs="Arial" w:eastAsia="Arial" w:hAnsi="Arial"/>
                <w:sz w:val="18"/>
                <w:szCs w:val="18"/>
                <w:color w:val="auto"/>
              </w:rPr>
              <w:t>Southwest Appalachia</w:t>
            </w: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961</w:t>
            </w:r>
          </w:p>
        </w:tc>
        <w:tc>
          <w:tcPr>
            <w:tcW w:w="98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3.04</w:t>
            </w:r>
          </w:p>
        </w:tc>
        <w:tc>
          <w:tcPr>
            <w:tcW w:w="100" w:type="dxa"/>
            <w:vAlign w:val="bottom"/>
            <w:shd w:val="clear" w:color="auto" w:fill="DBDBDB"/>
          </w:tcPr>
          <w:p>
            <w:pPr>
              <w:spacing w:after="0"/>
              <w:rPr>
                <w:sz w:val="19"/>
                <w:szCs w:val="19"/>
                <w:color w:val="auto"/>
              </w:rPr>
            </w:pP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56.59</w:t>
            </w:r>
          </w:p>
        </w:tc>
        <w:tc>
          <w:tcPr>
            <w:tcW w:w="100" w:type="dxa"/>
            <w:vAlign w:val="bottom"/>
            <w:shd w:val="clear" w:color="auto" w:fill="DBDBDB"/>
          </w:tcPr>
          <w:p>
            <w:pPr>
              <w:spacing w:after="0"/>
              <w:rPr>
                <w:sz w:val="19"/>
                <w:szCs w:val="19"/>
                <w:color w:val="auto"/>
              </w:rPr>
            </w:pP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24.81</w:t>
            </w:r>
          </w:p>
        </w:tc>
        <w:tc>
          <w:tcPr>
            <w:tcW w:w="100" w:type="dxa"/>
            <w:vAlign w:val="bottom"/>
            <w:shd w:val="clear" w:color="auto" w:fill="DBDBDB"/>
          </w:tcPr>
          <w:p>
            <w:pPr>
              <w:spacing w:after="0"/>
              <w:rPr>
                <w:sz w:val="19"/>
                <w:szCs w:val="19"/>
                <w:color w:val="auto"/>
              </w:rPr>
            </w:pP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1,546</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23"/>
        </w:trPr>
        <w:tc>
          <w:tcPr>
            <w:tcW w:w="3440" w:type="dxa"/>
            <w:vAlign w:val="bottom"/>
          </w:tcPr>
          <w:p>
            <w:pPr>
              <w:ind w:left="240"/>
              <w:spacing w:after="0"/>
              <w:rPr>
                <w:sz w:val="20"/>
                <w:szCs w:val="20"/>
                <w:color w:val="auto"/>
              </w:rPr>
            </w:pPr>
            <w:r>
              <w:rPr>
                <w:rFonts w:ascii="Arial" w:cs="Arial" w:eastAsia="Arial" w:hAnsi="Arial"/>
                <w:sz w:val="18"/>
                <w:szCs w:val="18"/>
                <w:color w:val="auto"/>
              </w:rPr>
              <w:t>Total</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6,524</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56.59</w:t>
            </w:r>
          </w:p>
        </w:tc>
        <w:tc>
          <w:tcPr>
            <w:tcW w:w="10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24.81</w:t>
            </w:r>
          </w:p>
        </w:tc>
        <w:tc>
          <w:tcPr>
            <w:tcW w:w="10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1"/>
        </w:trPr>
        <w:tc>
          <w:tcPr>
            <w:tcW w:w="34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34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3440" w:type="dxa"/>
            <w:vAlign w:val="bottom"/>
            <w:shd w:val="clear" w:color="auto" w:fill="DBDBDB"/>
          </w:tcPr>
          <w:p>
            <w:pPr>
              <w:ind w:left="20"/>
              <w:spacing w:after="0"/>
              <w:rPr>
                <w:sz w:val="20"/>
                <w:szCs w:val="20"/>
                <w:color w:val="auto"/>
              </w:rPr>
            </w:pPr>
            <w:r>
              <w:rPr>
                <w:rFonts w:ascii="Arial" w:cs="Arial" w:eastAsia="Arial" w:hAnsi="Arial"/>
                <w:sz w:val="18"/>
                <w:szCs w:val="18"/>
                <w:color w:val="auto"/>
              </w:rPr>
              <w:t>Average NYMEX Price</w:t>
            </w:r>
          </w:p>
        </w:tc>
        <w:tc>
          <w:tcPr>
            <w:tcW w:w="880" w:type="dxa"/>
            <w:vAlign w:val="bottom"/>
            <w:shd w:val="clear" w:color="auto" w:fill="DBDBDB"/>
          </w:tcPr>
          <w:p>
            <w:pPr>
              <w:spacing w:after="0"/>
              <w:rPr>
                <w:sz w:val="19"/>
                <w:szCs w:val="19"/>
                <w:color w:val="auto"/>
              </w:rPr>
            </w:pPr>
          </w:p>
        </w:tc>
        <w:tc>
          <w:tcPr>
            <w:tcW w:w="98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3.39</w:t>
            </w:r>
          </w:p>
        </w:tc>
        <w:tc>
          <w:tcPr>
            <w:tcW w:w="100" w:type="dxa"/>
            <w:vAlign w:val="bottom"/>
            <w:shd w:val="clear" w:color="auto" w:fill="DBDBDB"/>
          </w:tcPr>
          <w:p>
            <w:pPr>
              <w:spacing w:after="0"/>
              <w:rPr>
                <w:sz w:val="19"/>
                <w:szCs w:val="19"/>
                <w:color w:val="auto"/>
              </w:rPr>
            </w:pPr>
          </w:p>
        </w:tc>
        <w:tc>
          <w:tcPr>
            <w:tcW w:w="8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66.70</w:t>
            </w:r>
          </w:p>
        </w:tc>
        <w:tc>
          <w:tcPr>
            <w:tcW w:w="100" w:type="dxa"/>
            <w:vAlign w:val="bottom"/>
            <w:shd w:val="clear" w:color="auto" w:fill="DBDBDB"/>
          </w:tcPr>
          <w:p>
            <w:pPr>
              <w:spacing w:after="0"/>
              <w:rPr>
                <w:sz w:val="19"/>
                <w:szCs w:val="19"/>
                <w:color w:val="auto"/>
              </w:rPr>
            </w:pPr>
          </w:p>
        </w:tc>
        <w:tc>
          <w:tcPr>
            <w:tcW w:w="88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7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9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74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440" w:type="dxa"/>
            <w:vAlign w:val="bottom"/>
          </w:tcPr>
          <w:p>
            <w:pPr>
              <w:ind w:left="20"/>
              <w:spacing w:after="0" w:line="176" w:lineRule="exact"/>
              <w:rPr>
                <w:sz w:val="20"/>
                <w:szCs w:val="20"/>
                <w:color w:val="auto"/>
              </w:rPr>
            </w:pPr>
            <w:r>
              <w:rPr>
                <w:rFonts w:ascii="Arial" w:cs="Arial" w:eastAsia="Arial" w:hAnsi="Arial"/>
                <w:sz w:val="18"/>
                <w:szCs w:val="18"/>
                <w:color w:val="auto"/>
              </w:rPr>
              <w:t>Average Realized Price (including</w:t>
            </w:r>
          </w:p>
        </w:tc>
        <w:tc>
          <w:tcPr>
            <w:tcW w:w="880" w:type="dxa"/>
            <w:vAlign w:val="bottom"/>
          </w:tcPr>
          <w:p>
            <w:pPr>
              <w:spacing w:after="0"/>
              <w:rPr>
                <w:sz w:val="15"/>
                <w:szCs w:val="15"/>
                <w:color w:val="auto"/>
              </w:rPr>
            </w:pPr>
          </w:p>
        </w:tc>
        <w:tc>
          <w:tcPr>
            <w:tcW w:w="980" w:type="dxa"/>
            <w:vAlign w:val="bottom"/>
            <w:gridSpan w:val="2"/>
            <w:vMerge w:val="restart"/>
          </w:tcPr>
          <w:p>
            <w:pPr>
              <w:jc w:val="right"/>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57.63</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24.48</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153"/>
        </w:trPr>
        <w:tc>
          <w:tcPr>
            <w:tcW w:w="3440" w:type="dxa"/>
            <w:vAlign w:val="bottom"/>
            <w:vMerge w:val="restart"/>
          </w:tcPr>
          <w:p>
            <w:pPr>
              <w:ind w:left="20"/>
              <w:spacing w:after="0"/>
              <w:rPr>
                <w:sz w:val="20"/>
                <w:szCs w:val="20"/>
                <w:color w:val="auto"/>
              </w:rPr>
            </w:pPr>
            <w:r>
              <w:rPr>
                <w:rFonts w:ascii="Arial" w:cs="Arial" w:eastAsia="Arial" w:hAnsi="Arial"/>
                <w:sz w:val="18"/>
                <w:szCs w:val="18"/>
                <w:color w:val="auto"/>
              </w:rPr>
              <w:t>realized derivatives)</w:t>
            </w:r>
          </w:p>
        </w:tc>
        <w:tc>
          <w:tcPr>
            <w:tcW w:w="88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3440" w:type="dxa"/>
            <w:vAlign w:val="bottom"/>
            <w:vMerge w:val="continue"/>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280" w:type="dxa"/>
            <w:vAlign w:val="bottom"/>
            <w:tcBorders>
              <w:bottom w:val="single" w:sz="8" w:color="33A3DC"/>
            </w:tcBorders>
          </w:tcPr>
          <w:p>
            <w:pPr>
              <w:ind w:left="20"/>
              <w:spacing w:after="0"/>
              <w:rPr>
                <w:sz w:val="20"/>
                <w:szCs w:val="20"/>
                <w:color w:val="auto"/>
              </w:rPr>
            </w:pPr>
            <w:r>
              <w:rPr>
                <w:rFonts w:ascii="Arial" w:cs="Arial" w:eastAsia="Arial" w:hAnsi="Arial"/>
                <w:sz w:val="18"/>
                <w:szCs w:val="18"/>
                <w:b w:val="1"/>
                <w:bCs w:val="1"/>
                <w:color w:val="00386C"/>
              </w:rPr>
              <w:t>CAPITAL EXPENDITURES ACCRUED (unaudited)</w:t>
            </w:r>
          </w:p>
        </w:tc>
        <w:tc>
          <w:tcPr>
            <w:tcW w:w="40" w:type="dxa"/>
            <w:vAlign w:val="bottom"/>
            <w:tcBorders>
              <w:bottom w:val="single" w:sz="8" w:color="33A3DC"/>
            </w:tcBorders>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428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 in millions)</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60" w:type="dxa"/>
            <w:vAlign w:val="bottom"/>
            <w:gridSpan w:val="5"/>
          </w:tcPr>
          <w:p>
            <w:pPr>
              <w:ind w:left="20"/>
              <w:spacing w:after="0"/>
              <w:rPr>
                <w:sz w:val="20"/>
                <w:szCs w:val="20"/>
                <w:color w:val="auto"/>
              </w:rPr>
            </w:pPr>
            <w:r>
              <w:rPr>
                <w:rFonts w:ascii="Arial" w:cs="Arial" w:eastAsia="Arial" w:hAnsi="Arial"/>
                <w:sz w:val="18"/>
                <w:szCs w:val="18"/>
                <w:b w:val="1"/>
                <w:bCs w:val="1"/>
                <w:color w:val="auto"/>
              </w:rPr>
              <w:t>Three Months Ended September 30,</w:t>
            </w:r>
          </w:p>
        </w:tc>
        <w:tc>
          <w:tcPr>
            <w:tcW w:w="180" w:type="dxa"/>
            <w:vAlign w:val="bottom"/>
          </w:tcPr>
          <w:p>
            <w:pPr>
              <w:spacing w:after="0"/>
              <w:rPr>
                <w:sz w:val="24"/>
                <w:szCs w:val="24"/>
                <w:color w:val="auto"/>
              </w:rPr>
            </w:pPr>
          </w:p>
        </w:tc>
        <w:tc>
          <w:tcPr>
            <w:tcW w:w="3260" w:type="dxa"/>
            <w:vAlign w:val="bottom"/>
            <w:gridSpan w:val="4"/>
          </w:tcPr>
          <w:p>
            <w:pPr>
              <w:jc w:val="right"/>
              <w:ind w:right="150"/>
              <w:spacing w:after="0"/>
              <w:rPr>
                <w:sz w:val="20"/>
                <w:szCs w:val="20"/>
                <w:color w:val="auto"/>
              </w:rPr>
            </w:pPr>
            <w:r>
              <w:rPr>
                <w:rFonts w:ascii="Arial" w:cs="Arial" w:eastAsia="Arial" w:hAnsi="Arial"/>
                <w:sz w:val="18"/>
                <w:szCs w:val="18"/>
                <w:b w:val="1"/>
                <w:bCs w:val="1"/>
                <w:color w:val="auto"/>
              </w:rPr>
              <w:t>Nine Months Ended September 30,</w:t>
            </w:r>
          </w:p>
        </w:tc>
        <w:tc>
          <w:tcPr>
            <w:tcW w:w="0" w:type="dxa"/>
            <w:vAlign w:val="bottom"/>
          </w:tcPr>
          <w:p>
            <w:pPr>
              <w:spacing w:after="0"/>
              <w:rPr>
                <w:sz w:val="1"/>
                <w:szCs w:val="1"/>
                <w:color w:val="auto"/>
              </w:rPr>
            </w:pPr>
          </w:p>
        </w:tc>
      </w:tr>
      <w:tr>
        <w:trPr>
          <w:trHeight w:val="223"/>
        </w:trPr>
        <w:tc>
          <w:tcPr>
            <w:tcW w:w="4280" w:type="dxa"/>
            <w:vAlign w:val="bottom"/>
            <w:tcBorders>
              <w:bottom w:val="single" w:sz="8" w:color="DBDBDB"/>
            </w:tcBorders>
            <w:vMerge w:val="continue"/>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2026</w:t>
            </w:r>
          </w:p>
        </w:tc>
        <w:tc>
          <w:tcPr>
            <w:tcW w:w="100" w:type="dxa"/>
            <w:vAlign w:val="bottom"/>
            <w:tcBorders>
              <w:top w:val="single" w:sz="8" w:color="auto"/>
              <w:bottom w:val="single" w:sz="8" w:color="DBDBDB"/>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2025</w:t>
            </w:r>
          </w:p>
        </w:tc>
        <w:tc>
          <w:tcPr>
            <w:tcW w:w="100" w:type="dxa"/>
            <w:vAlign w:val="bottom"/>
            <w:tcBorders>
              <w:bottom w:val="single" w:sz="8" w:color="DBDBDB"/>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2026</w:t>
            </w:r>
          </w:p>
        </w:tc>
        <w:tc>
          <w:tcPr>
            <w:tcW w:w="80" w:type="dxa"/>
            <w:vAlign w:val="bottom"/>
            <w:tcBorders>
              <w:top w:val="single" w:sz="8" w:color="auto"/>
              <w:bottom w:val="single" w:sz="8" w:color="DBDBDB"/>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2025</w:t>
            </w:r>
          </w:p>
        </w:tc>
        <w:tc>
          <w:tcPr>
            <w:tcW w:w="0" w:type="dxa"/>
            <w:vAlign w:val="bottom"/>
          </w:tcPr>
          <w:p>
            <w:pPr>
              <w:spacing w:after="0"/>
              <w:rPr>
                <w:sz w:val="1"/>
                <w:szCs w:val="1"/>
                <w:color w:val="auto"/>
              </w:rPr>
            </w:pPr>
          </w:p>
        </w:tc>
      </w:tr>
      <w:tr>
        <w:trPr>
          <w:trHeight w:val="209"/>
        </w:trPr>
        <w:tc>
          <w:tcPr>
            <w:tcW w:w="4280" w:type="dxa"/>
            <w:vAlign w:val="bottom"/>
            <w:shd w:val="clear" w:color="auto" w:fill="DBDBDB"/>
          </w:tcPr>
          <w:p>
            <w:pPr>
              <w:ind w:left="20"/>
              <w:spacing w:after="0"/>
              <w:rPr>
                <w:sz w:val="20"/>
                <w:szCs w:val="20"/>
                <w:color w:val="auto"/>
              </w:rPr>
            </w:pPr>
            <w:r>
              <w:rPr>
                <w:rFonts w:ascii="Arial" w:cs="Arial" w:eastAsia="Arial" w:hAnsi="Arial"/>
                <w:sz w:val="18"/>
                <w:szCs w:val="18"/>
                <w:color w:val="auto"/>
              </w:rPr>
              <w:t>Drilling and completion capital expenditures:</w:t>
            </w:r>
          </w:p>
        </w:tc>
        <w:tc>
          <w:tcPr>
            <w:tcW w:w="4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5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28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50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3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80" w:type="dxa"/>
            <w:vAlign w:val="bottom"/>
          </w:tcPr>
          <w:p>
            <w:pPr>
              <w:ind w:left="20"/>
              <w:spacing w:after="0"/>
              <w:rPr>
                <w:sz w:val="20"/>
                <w:szCs w:val="20"/>
                <w:color w:val="auto"/>
              </w:rPr>
            </w:pPr>
            <w:r>
              <w:rPr>
                <w:rFonts w:ascii="Arial" w:cs="Arial" w:eastAsia="Arial" w:hAnsi="Arial"/>
                <w:sz w:val="18"/>
                <w:szCs w:val="18"/>
                <w:color w:val="auto"/>
              </w:rPr>
              <w:t>Haynesville</w:t>
            </w: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956</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989</w:t>
            </w:r>
          </w:p>
        </w:tc>
        <w:tc>
          <w:tcPr>
            <w:tcW w:w="0" w:type="dxa"/>
            <w:vAlign w:val="bottom"/>
          </w:tcPr>
          <w:p>
            <w:pPr>
              <w:spacing w:after="0"/>
              <w:rPr>
                <w:sz w:val="1"/>
                <w:szCs w:val="1"/>
                <w:color w:val="auto"/>
              </w:rPr>
            </w:pPr>
          </w:p>
        </w:tc>
      </w:tr>
      <w:tr>
        <w:trPr>
          <w:trHeight w:val="230"/>
        </w:trPr>
        <w:tc>
          <w:tcPr>
            <w:tcW w:w="428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Northeast Appalachia</w:t>
            </w:r>
          </w:p>
        </w:tc>
        <w:tc>
          <w:tcPr>
            <w:tcW w:w="4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421</w:t>
            </w:r>
          </w:p>
        </w:tc>
        <w:tc>
          <w:tcPr>
            <w:tcW w:w="8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30"/>
        </w:trPr>
        <w:tc>
          <w:tcPr>
            <w:tcW w:w="42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Southwest Appalachia</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DBDBDB"/>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w:t>
            </w:r>
          </w:p>
        </w:tc>
        <w:tc>
          <w:tcPr>
            <w:tcW w:w="80" w:type="dxa"/>
            <w:vAlign w:val="bottom"/>
            <w:tcBorders>
              <w:bottom w:val="single" w:sz="8" w:color="DBDBDB"/>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23"/>
        </w:trPr>
        <w:tc>
          <w:tcPr>
            <w:tcW w:w="4280" w:type="dxa"/>
            <w:vAlign w:val="bottom"/>
            <w:shd w:val="clear" w:color="auto" w:fill="DBDBDB"/>
          </w:tcPr>
          <w:p>
            <w:pPr>
              <w:ind w:left="240"/>
              <w:spacing w:after="0"/>
              <w:rPr>
                <w:sz w:val="20"/>
                <w:szCs w:val="20"/>
                <w:color w:val="auto"/>
              </w:rPr>
            </w:pPr>
            <w:r>
              <w:rPr>
                <w:rFonts w:ascii="Arial" w:cs="Arial" w:eastAsia="Arial" w:hAnsi="Arial"/>
                <w:sz w:val="18"/>
                <w:szCs w:val="18"/>
                <w:color w:val="auto"/>
              </w:rPr>
              <w:t>Total drilling and completion capital expenditures</w:t>
            </w:r>
          </w:p>
        </w:tc>
        <w:tc>
          <w:tcPr>
            <w:tcW w:w="40" w:type="dxa"/>
            <w:vAlign w:val="bottom"/>
            <w:tcBorders>
              <w:bottom w:val="single" w:sz="8" w:color="auto"/>
            </w:tcBorders>
            <w:shd w:val="clear" w:color="auto" w:fill="DBDBDB"/>
          </w:tcPr>
          <w:p>
            <w:pPr>
              <w:spacing w:after="0"/>
              <w:rPr>
                <w:sz w:val="19"/>
                <w:szCs w:val="19"/>
                <w:color w:val="auto"/>
              </w:rPr>
            </w:pPr>
          </w:p>
        </w:tc>
        <w:tc>
          <w:tcPr>
            <w:tcW w:w="120" w:type="dxa"/>
            <w:vAlign w:val="bottom"/>
            <w:tcBorders>
              <w:bottom w:val="single" w:sz="8" w:color="auto"/>
            </w:tcBorders>
            <w:shd w:val="clear" w:color="auto" w:fill="DBDBDB"/>
          </w:tcPr>
          <w:p>
            <w:pPr>
              <w:spacing w:after="0"/>
              <w:rPr>
                <w:sz w:val="19"/>
                <w:szCs w:val="19"/>
                <w:color w:val="auto"/>
              </w:rPr>
            </w:pPr>
          </w:p>
        </w:tc>
        <w:tc>
          <w:tcPr>
            <w:tcW w:w="15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643</w:t>
            </w:r>
          </w:p>
        </w:tc>
        <w:tc>
          <w:tcPr>
            <w:tcW w:w="100" w:type="dxa"/>
            <w:vAlign w:val="bottom"/>
            <w:shd w:val="clear" w:color="auto" w:fill="DBDBDB"/>
          </w:tcPr>
          <w:p>
            <w:pPr>
              <w:spacing w:after="0"/>
              <w:rPr>
                <w:sz w:val="19"/>
                <w:szCs w:val="19"/>
                <w:color w:val="auto"/>
              </w:rPr>
            </w:pPr>
          </w:p>
        </w:tc>
        <w:tc>
          <w:tcPr>
            <w:tcW w:w="380" w:type="dxa"/>
            <w:vAlign w:val="bottom"/>
            <w:tcBorders>
              <w:bottom w:val="single" w:sz="8" w:color="auto"/>
            </w:tcBorders>
            <w:shd w:val="clear" w:color="auto" w:fill="DBDBDB"/>
          </w:tcPr>
          <w:p>
            <w:pPr>
              <w:spacing w:after="0"/>
              <w:rPr>
                <w:sz w:val="19"/>
                <w:szCs w:val="19"/>
                <w:color w:val="auto"/>
              </w:rPr>
            </w:pP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619</w:t>
            </w:r>
          </w:p>
        </w:tc>
        <w:tc>
          <w:tcPr>
            <w:tcW w:w="10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15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1,867</w:t>
            </w:r>
          </w:p>
        </w:tc>
        <w:tc>
          <w:tcPr>
            <w:tcW w:w="80" w:type="dxa"/>
            <w:vAlign w:val="bottom"/>
            <w:shd w:val="clear" w:color="auto" w:fill="DBDBDB"/>
          </w:tcPr>
          <w:p>
            <w:pPr>
              <w:spacing w:after="0"/>
              <w:rPr>
                <w:sz w:val="19"/>
                <w:szCs w:val="19"/>
                <w:color w:val="auto"/>
              </w:rPr>
            </w:pPr>
          </w:p>
        </w:tc>
        <w:tc>
          <w:tcPr>
            <w:tcW w:w="380" w:type="dxa"/>
            <w:vAlign w:val="bottom"/>
            <w:tcBorders>
              <w:bottom w:val="single" w:sz="8" w:color="auto"/>
            </w:tcBorders>
            <w:shd w:val="clear" w:color="auto" w:fill="DBDBDB"/>
          </w:tcPr>
          <w:p>
            <w:pPr>
              <w:spacing w:after="0"/>
              <w:rPr>
                <w:sz w:val="19"/>
                <w:szCs w:val="19"/>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1,776</w:t>
            </w:r>
          </w:p>
        </w:tc>
        <w:tc>
          <w:tcPr>
            <w:tcW w:w="0" w:type="dxa"/>
            <w:vAlign w:val="bottom"/>
          </w:tcPr>
          <w:p>
            <w:pPr>
              <w:spacing w:after="0"/>
              <w:rPr>
                <w:sz w:val="1"/>
                <w:szCs w:val="1"/>
                <w:color w:val="auto"/>
              </w:rPr>
            </w:pPr>
          </w:p>
        </w:tc>
      </w:tr>
      <w:tr>
        <w:trPr>
          <w:trHeight w:val="223"/>
        </w:trPr>
        <w:tc>
          <w:tcPr>
            <w:tcW w:w="4280" w:type="dxa"/>
            <w:vAlign w:val="bottom"/>
          </w:tcPr>
          <w:p>
            <w:pPr>
              <w:ind w:left="20"/>
              <w:spacing w:after="0"/>
              <w:rPr>
                <w:sz w:val="20"/>
                <w:szCs w:val="20"/>
                <w:color w:val="auto"/>
              </w:rPr>
            </w:pPr>
            <w:r>
              <w:rPr>
                <w:rFonts w:ascii="Arial" w:cs="Arial" w:eastAsia="Arial" w:hAnsi="Arial"/>
                <w:sz w:val="18"/>
                <w:szCs w:val="18"/>
                <w:color w:val="auto"/>
              </w:rPr>
              <w:t>Non-drilling and completion - field</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364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30"/>
        </w:trPr>
        <w:tc>
          <w:tcPr>
            <w:tcW w:w="428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Non-drilling and completion - corporate</w:t>
            </w:r>
          </w:p>
        </w:tc>
        <w:tc>
          <w:tcPr>
            <w:tcW w:w="40" w:type="dxa"/>
            <w:vAlign w:val="bottom"/>
            <w:tcBorders>
              <w:bottom w:val="single" w:sz="8" w:color="auto"/>
            </w:tcBorders>
            <w:shd w:val="clear" w:color="auto" w:fill="DBDBDB"/>
          </w:tcPr>
          <w:p>
            <w:pPr>
              <w:spacing w:after="0"/>
              <w:rPr>
                <w:sz w:val="19"/>
                <w:szCs w:val="19"/>
                <w:color w:val="auto"/>
              </w:rPr>
            </w:pPr>
          </w:p>
        </w:tc>
        <w:tc>
          <w:tcPr>
            <w:tcW w:w="120" w:type="dxa"/>
            <w:vAlign w:val="bottom"/>
            <w:tcBorders>
              <w:bottom w:val="single" w:sz="8" w:color="auto"/>
            </w:tcBorders>
            <w:shd w:val="clear" w:color="auto" w:fill="DBDBDB"/>
          </w:tcPr>
          <w:p>
            <w:pPr>
              <w:spacing w:after="0"/>
              <w:rPr>
                <w:sz w:val="19"/>
                <w:szCs w:val="19"/>
                <w:color w:val="auto"/>
              </w:rPr>
            </w:pPr>
          </w:p>
        </w:tc>
        <w:tc>
          <w:tcPr>
            <w:tcW w:w="15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DBDBDB"/>
          </w:tcPr>
          <w:p>
            <w:pPr>
              <w:spacing w:after="0"/>
              <w:rPr>
                <w:sz w:val="19"/>
                <w:szCs w:val="19"/>
                <w:color w:val="auto"/>
              </w:rPr>
            </w:pPr>
          </w:p>
        </w:tc>
        <w:tc>
          <w:tcPr>
            <w:tcW w:w="380" w:type="dxa"/>
            <w:vAlign w:val="bottom"/>
            <w:tcBorders>
              <w:bottom w:val="single" w:sz="8" w:color="auto"/>
            </w:tcBorders>
            <w:shd w:val="clear" w:color="auto" w:fill="DBDBDB"/>
          </w:tcPr>
          <w:p>
            <w:pPr>
              <w:spacing w:after="0"/>
              <w:rPr>
                <w:sz w:val="19"/>
                <w:szCs w:val="19"/>
                <w:color w:val="auto"/>
              </w:rPr>
            </w:pP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15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130</w:t>
            </w:r>
          </w:p>
        </w:tc>
        <w:tc>
          <w:tcPr>
            <w:tcW w:w="80" w:type="dxa"/>
            <w:vAlign w:val="bottom"/>
            <w:shd w:val="clear" w:color="auto" w:fill="DBDBDB"/>
          </w:tcPr>
          <w:p>
            <w:pPr>
              <w:spacing w:after="0"/>
              <w:rPr>
                <w:sz w:val="19"/>
                <w:szCs w:val="19"/>
                <w:color w:val="auto"/>
              </w:rPr>
            </w:pPr>
          </w:p>
        </w:tc>
        <w:tc>
          <w:tcPr>
            <w:tcW w:w="380" w:type="dxa"/>
            <w:vAlign w:val="bottom"/>
            <w:tcBorders>
              <w:bottom w:val="single" w:sz="8" w:color="auto"/>
            </w:tcBorders>
            <w:shd w:val="clear" w:color="auto" w:fill="DBDBDB"/>
          </w:tcPr>
          <w:p>
            <w:pPr>
              <w:spacing w:after="0"/>
              <w:rPr>
                <w:sz w:val="19"/>
                <w:szCs w:val="19"/>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23"/>
        </w:trPr>
        <w:tc>
          <w:tcPr>
            <w:tcW w:w="4280" w:type="dxa"/>
            <w:vAlign w:val="bottom"/>
          </w:tcPr>
          <w:p>
            <w:pPr>
              <w:ind w:left="240"/>
              <w:spacing w:after="0"/>
              <w:rPr>
                <w:sz w:val="20"/>
                <w:szCs w:val="20"/>
                <w:color w:val="auto"/>
              </w:rPr>
            </w:pPr>
            <w:r>
              <w:rPr>
                <w:rFonts w:ascii="Arial" w:cs="Arial" w:eastAsia="Arial" w:hAnsi="Arial"/>
                <w:sz w:val="18"/>
                <w:szCs w:val="18"/>
                <w:color w:val="auto"/>
              </w:rPr>
              <w:t>Total capital expenditures</w:t>
            </w:r>
          </w:p>
        </w:tc>
        <w:tc>
          <w:tcPr>
            <w:tcW w:w="1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794</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2,361</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2,124</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440" w:right="339" w:bottom="1440" w:gutter="0" w:footer="0" w:header="0"/>
        </w:sectPr>
      </w:pPr>
    </w:p>
    <w:bookmarkStart w:id="12" w:name="page13"/>
    <w:bookmarkEnd w:id="12"/>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386C"/>
        </w:rPr>
        <w:t>NON-GAAP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0142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014220" cy="8255"/>
                    </a:xfrm>
                    <a:prstGeom prst="rect">
                      <a:avLst/>
                    </a:prstGeom>
                    <a:noFill/>
                  </pic:spPr>
                </pic:pic>
              </a:graphicData>
            </a:graphic>
          </wp:anchor>
        </w:drawing>
      </w:r>
    </w:p>
    <w:p>
      <w:pPr>
        <w:spacing w:after="0" w:line="345"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As a supplement to the financial results prepared in accordance with U.S. GAAP, Expand Energy’s quarterly earnings releases contain certain financial measures that are not prepared or presented in accordance with U.S. GAAP. These non-GAAP financial measures include Adjusted Net Income, Adjusted Diluted Earnings Per Common Share, Adjusted EBITDAX, Marketing Adjusted EBITDA, Free Cash Flow, Adjusted Free Cash Flow and Net Debt. A reconciliation of each financial measure to its most directly comparable GAAP financial measure is included in the tables below. Management believes these adjusted financial measures are a meaningful adjunct to earnings and cash flows calculated in accordance with GAAP because (a) management uses these financial measures to evaluate the Company’s trends and performance, (b) these financial measures are comparable to estimates provided by securities analysts, and (c) items excluded generally are one-time items or items whose timing or amount cannot be reasonably estimated. Accordingly, any guidance provided by the Company generally excludes information regarding these types of items.</w:t>
      </w:r>
    </w:p>
    <w:p>
      <w:pPr>
        <w:spacing w:after="0" w:line="21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Expand Energy's definitions of each non-GAAP measure presented herein are provided below. Because not all companies or securities analysts use identical calculations, Expand Energy’s non-GAAP measures may not be comparable to similarly titled measures of other companies or securities analysts.</w:t>
      </w:r>
    </w:p>
    <w:p>
      <w:pPr>
        <w:spacing w:after="0" w:line="19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Adjusted Net Income: Adjusted Net Income is defined as net income (loss) adjusted to exclude unrealized (gains) losses on derivatives, separation and other termination costs, (gains) losses on sales of assets, and certain items management believes affect the comparability of operating results, less a tax effect using applicable rates. Expand Energy believes that Adjusted Net Income facilitates comparisons of the Company's period-over-period performance, by excluding the impact of items that, in the opinion of management, do not reflect Expand Energy's core operating performance. Adjusted Net Income should not be considered an alternative to, or more meaningful than, net income (loss) as presented in accordance with GAAP.</w:t>
      </w: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Adjusted Diluted Earnings Per Common Share: Adjusted Diluted Earnings Per Common Share is defined as diluted earnings (loss) per common share adjusted to exclude the per diluted share amounts attributed to unrealized (gains) losses on derivatives, separation and other termination costs, (gains) losses on sales of assets, and certain items management believes affect the comparability of operating results, less a tax effect using applicable rates. Expand Energy believes that Adjusted Diluted Earnings Per Common Share facilitates comparisons of the Company's period-over-period performance, by excluding the impact of items that, in the opinion of management, do not reflect Expand Energy's core operating performance. Adjusted Diluted Earnings Per Common Share should not be considered an alternative to, or more meaningful than, earnings (loss) per common share as presented in accordance with GAAP.</w:t>
      </w:r>
    </w:p>
    <w:p>
      <w:pPr>
        <w:spacing w:after="0" w:line="200" w:lineRule="exact"/>
        <w:rPr>
          <w:sz w:val="20"/>
          <w:szCs w:val="20"/>
          <w:color w:val="auto"/>
        </w:rPr>
      </w:pPr>
    </w:p>
    <w:p>
      <w:pPr>
        <w:spacing w:after="0" w:line="20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Adjusted EBITDAX: Adjusted EBITDAX is defined as net income (loss) before interest expense, income tax expense (benefit), depreciation, depletion and amortization expense, exploration expense, unrealized (gains) losses on derivatives, separation and other termination costs, (gains) losses on sales of assets, and certain items management believes affect the comparability of operating results. Adjusted EBITDAX is presented as it provides investors an indication of the Company's ability to internally fund exploration and development activities and service or incur debt. Adjusted EBITDAX should not be considered an alternative to, or more meaningful than, net income (loss) as presented in accordance with GAAP.</w:t>
      </w:r>
    </w:p>
    <w:p>
      <w:pPr>
        <w:spacing w:after="0" w:line="199"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Marketing Adjusted EBITDA: Marketing Adjusted EBITDA is defined as Marketing segment income (loss) from operations, adjusted to eliminate intersegment gathering, processing and transportation fees included in Marketing segment income from operations that are eliminated in consolidation, exclude unrealized gains and losses on Marketing derivatives, and add back depreciation and amortization attributable to the Marketing segment. Marketing Adjusted EBITDA is presented as a performance measure because management believes it provides investors with additional information regarding the operating performance of the Marketing segment after giving effect to the elimination of intersegment gathering, processing and transportation fees and excluding the impact of unrealized gains and losses on Marketing derivatives, and facilitates comparisons of the Marketing segment’s operating performance across periods. Marketing Adjusted EBITDA should not be considered an alternative to, or more meaningful than, Marketing segment income (loss) from operations as presented in accordance with GAAP.</w:t>
      </w:r>
    </w:p>
    <w:p>
      <w:pPr>
        <w:spacing w:after="0" w:line="207"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Free Cash Flow: Free Cash Flow is defined as net cash provided by operating activities less cash capital expenditures. Free Cash Flow is a liquidity measure that provides investors additional information regarding the Company's ability to service or incur debt and return cash to shareholders. Free Cash Flow should not be considered an alternative to, or more meaningful than, net cash provided by (used in) operating activities, or any other measure of liquidity presented in accordance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440" w:right="339" w:bottom="1440" w:gutter="0" w:footer="0" w:header="0"/>
        </w:sectPr>
      </w:pPr>
    </w:p>
    <w:bookmarkStart w:id="13" w:name="page14"/>
    <w:bookmarkEnd w:id="13"/>
    <w:p>
      <w:pPr>
        <w:spacing w:after="0" w:line="38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Adjusted Free Cash Flow: Adjusted Free Cash Flow is defined as net cash provided by operating activities less cash capital expenditures and cash contributions to investments, adjusted to exclude certain items management believes affect the comparability of operating results. Adjusted Free Cash Flow is a liquidity measure that provides investors additional information regarding the Company's ability to service or incur debt and return cash to shareholders. Adjusted Free Cash Flow should not be considered an alternative to, or more meaningful than, net cash provided by (used in) operating activities, or any other measure of liquidity presented in accordance with GAAP.</w:t>
      </w:r>
    </w:p>
    <w:p>
      <w:pPr>
        <w:spacing w:after="0" w:line="19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Net Debt: Net Debt is defined as GAAP total debt excluding premiums, discounts, and deferred issuance costs, as well as secured borrowings under the Twin Eagle receivable purchase agreement less cash and cash equivalents. Net Debt is useful to investors as a widely understood measure of liquidity and leverage, but this measure should not be considered as an alternative to, or more meaningful than, total debt presented in accordance with GAAP.</w:t>
      </w:r>
    </w:p>
    <w:p>
      <w:pPr>
        <w:spacing w:after="0" w:line="19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Net debt to Adjusted EBITDAX: Net debt to Adjusted EBITDAX is a non-GAAP measure and is defined as Net Debt divided by an annualized Adjusted EBITDAX measure on a trailing twelve month calculation. Management uses Net Debt to Adjusted EBITDAX to assess liquidity and leverage. The Company believes this measure is useful to investors because it provides supplemental information to investors regarding its ability internally fund exploration and development activities and service or incur debt. However, this measure should not be considered as an alternative to, or more meaningful than, total debt or net income (loss) as presented in accordance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440" w:right="339" w:bottom="1440" w:gutter="0" w:footer="0" w:header="0"/>
        </w:sectPr>
      </w:pPr>
    </w:p>
    <w:bookmarkStart w:id="14" w:name="page15"/>
    <w:bookmarkEnd w:id="14"/>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386C"/>
        </w:rPr>
        <w:t>RECONCILIATION OF NET INCOME TO ADJUSTED NET INCOME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465455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654550" cy="8255"/>
                    </a:xfrm>
                    <a:prstGeom prst="rect">
                      <a:avLst/>
                    </a:prstGeom>
                    <a:noFill/>
                  </pic:spPr>
                </pic:pic>
              </a:graphicData>
            </a:graphic>
          </wp:anchor>
        </w:drawing>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380" w:type="dxa"/>
            <w:vAlign w:val="bottom"/>
            <w:gridSpan w:val="5"/>
          </w:tcPr>
          <w:p>
            <w:pPr>
              <w:ind w:left="140"/>
              <w:spacing w:after="0"/>
              <w:rPr>
                <w:sz w:val="20"/>
                <w:szCs w:val="20"/>
                <w:color w:val="auto"/>
              </w:rPr>
            </w:pPr>
            <w:r>
              <w:rPr>
                <w:rFonts w:ascii="Arial" w:cs="Arial" w:eastAsia="Arial" w:hAnsi="Arial"/>
                <w:sz w:val="16"/>
                <w:szCs w:val="16"/>
                <w:b w:val="1"/>
                <w:bCs w:val="1"/>
                <w:color w:val="auto"/>
              </w:rPr>
              <w:t>Three Months Ended September 30,</w:t>
            </w:r>
          </w:p>
        </w:tc>
        <w:tc>
          <w:tcPr>
            <w:tcW w:w="260" w:type="dxa"/>
            <w:vAlign w:val="bottom"/>
          </w:tcPr>
          <w:p>
            <w:pPr>
              <w:spacing w:after="0"/>
              <w:rPr>
                <w:sz w:val="18"/>
                <w:szCs w:val="18"/>
                <w:color w:val="auto"/>
              </w:rPr>
            </w:pPr>
          </w:p>
        </w:tc>
        <w:tc>
          <w:tcPr>
            <w:tcW w:w="3260" w:type="dxa"/>
            <w:vAlign w:val="bottom"/>
            <w:gridSpan w:val="4"/>
          </w:tcPr>
          <w:p>
            <w:pPr>
              <w:jc w:val="right"/>
              <w:ind w:right="339"/>
              <w:spacing w:after="0"/>
              <w:rPr>
                <w:sz w:val="20"/>
                <w:szCs w:val="20"/>
                <w:color w:val="auto"/>
              </w:rPr>
            </w:pPr>
            <w:r>
              <w:rPr>
                <w:rFonts w:ascii="Arial" w:cs="Arial" w:eastAsia="Arial" w:hAnsi="Arial"/>
                <w:sz w:val="16"/>
                <w:szCs w:val="16"/>
                <w:b w:val="1"/>
                <w:bCs w:val="1"/>
                <w:color w:val="auto"/>
              </w:rPr>
              <w:t>Nine Months Ended September 30,</w:t>
            </w:r>
          </w:p>
        </w:tc>
        <w:tc>
          <w:tcPr>
            <w:tcW w:w="0" w:type="dxa"/>
            <w:vAlign w:val="bottom"/>
          </w:tcPr>
          <w:p>
            <w:pPr>
              <w:spacing w:after="0"/>
              <w:rPr>
                <w:sz w:val="1"/>
                <w:szCs w:val="1"/>
                <w:color w:val="auto"/>
              </w:rPr>
            </w:pPr>
          </w:p>
        </w:tc>
      </w:tr>
      <w:tr>
        <w:trPr>
          <w:trHeight w:val="209"/>
        </w:trPr>
        <w:tc>
          <w:tcPr>
            <w:tcW w:w="4080" w:type="dxa"/>
            <w:vAlign w:val="bottom"/>
            <w:tcBorders>
              <w:bottom w:val="single" w:sz="8" w:color="D9D9D9"/>
            </w:tcBorders>
          </w:tcPr>
          <w:p>
            <w:pPr>
              <w:ind w:left="20"/>
              <w:spacing w:after="0"/>
              <w:rPr>
                <w:sz w:val="20"/>
                <w:szCs w:val="20"/>
                <w:color w:val="auto"/>
              </w:rPr>
            </w:pPr>
            <w:r>
              <w:rPr>
                <w:rFonts w:ascii="Arial" w:cs="Arial" w:eastAsia="Arial" w:hAnsi="Arial"/>
                <w:sz w:val="16"/>
                <w:szCs w:val="16"/>
                <w:i w:val="1"/>
                <w:iCs w:val="1"/>
                <w:color w:val="auto"/>
              </w:rPr>
              <w:t>($ in millions)</w:t>
            </w:r>
          </w:p>
        </w:tc>
        <w:tc>
          <w:tcPr>
            <w:tcW w:w="26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top w:val="single" w:sz="8" w:color="auto"/>
              <w:bottom w:val="single" w:sz="8" w:color="D9D9D9"/>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D9D9D9"/>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2026</w:t>
            </w:r>
          </w:p>
        </w:tc>
        <w:tc>
          <w:tcPr>
            <w:tcW w:w="80" w:type="dxa"/>
            <w:vAlign w:val="bottom"/>
            <w:tcBorders>
              <w:top w:val="single" w:sz="8" w:color="auto"/>
              <w:bottom w:val="single" w:sz="8" w:color="D9D9D9"/>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209"/>
        </w:trPr>
        <w:tc>
          <w:tcPr>
            <w:tcW w:w="4080" w:type="dxa"/>
            <w:vAlign w:val="bottom"/>
            <w:shd w:val="clear" w:color="auto" w:fill="D9D9D9"/>
          </w:tcPr>
          <w:p>
            <w:pPr>
              <w:ind w:left="20"/>
              <w:spacing w:after="0"/>
              <w:rPr>
                <w:sz w:val="20"/>
                <w:szCs w:val="20"/>
                <w:color w:val="auto"/>
              </w:rPr>
            </w:pPr>
            <w:r>
              <w:rPr>
                <w:rFonts w:ascii="Arial" w:cs="Arial" w:eastAsia="Arial" w:hAnsi="Arial"/>
                <w:sz w:val="16"/>
                <w:szCs w:val="16"/>
                <w:b w:val="1"/>
                <w:bCs w:val="1"/>
                <w:color w:val="auto"/>
              </w:rPr>
              <w:t>Net income (GAAP)</w:t>
            </w:r>
          </w:p>
        </w:tc>
        <w:tc>
          <w:tcPr>
            <w:tcW w:w="260" w:type="dxa"/>
            <w:vAlign w:val="bottom"/>
            <w:shd w:val="clear" w:color="auto" w:fill="D9D9D9"/>
          </w:tcPr>
          <w:p>
            <w:pPr>
              <w:jc w:val="right"/>
              <w:ind w:right="59"/>
              <w:spacing w:after="0"/>
              <w:rPr>
                <w:sz w:val="20"/>
                <w:szCs w:val="20"/>
                <w:color w:val="auto"/>
              </w:rPr>
            </w:pPr>
            <w:r>
              <w:rPr>
                <w:rFonts w:ascii="Arial" w:cs="Arial" w:eastAsia="Arial" w:hAnsi="Arial"/>
                <w:sz w:val="16"/>
                <w:szCs w:val="16"/>
                <w:color w:val="auto"/>
              </w:rPr>
              <w:t>$</w:t>
            </w:r>
          </w:p>
        </w:tc>
        <w:tc>
          <w:tcPr>
            <w:tcW w:w="1460" w:type="dxa"/>
            <w:vAlign w:val="bottom"/>
            <w:shd w:val="clear" w:color="auto" w:fill="D9D9D9"/>
          </w:tcPr>
          <w:p>
            <w:pPr>
              <w:jc w:val="right"/>
              <w:spacing w:after="0"/>
              <w:rPr>
                <w:sz w:val="20"/>
                <w:szCs w:val="20"/>
                <w:color w:val="auto"/>
              </w:rPr>
            </w:pPr>
            <w:r>
              <w:rPr>
                <w:rFonts w:ascii="Arial" w:cs="Arial" w:eastAsia="Arial" w:hAnsi="Arial"/>
                <w:sz w:val="16"/>
                <w:szCs w:val="16"/>
                <w:color w:val="auto"/>
              </w:rPr>
              <w:t>519</w:t>
            </w:r>
          </w:p>
        </w:tc>
        <w:tc>
          <w:tcPr>
            <w:tcW w:w="100" w:type="dxa"/>
            <w:vAlign w:val="bottom"/>
            <w:shd w:val="clear" w:color="auto" w:fill="D9D9D9"/>
          </w:tcPr>
          <w:p>
            <w:pPr>
              <w:spacing w:after="0"/>
              <w:rPr>
                <w:sz w:val="18"/>
                <w:szCs w:val="18"/>
                <w:color w:val="auto"/>
              </w:rPr>
            </w:pPr>
          </w:p>
        </w:tc>
        <w:tc>
          <w:tcPr>
            <w:tcW w:w="400" w:type="dxa"/>
            <w:vAlign w:val="bottom"/>
            <w:shd w:val="clear" w:color="auto" w:fill="D9D9D9"/>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shd w:val="clear" w:color="auto" w:fill="D9D9D9"/>
          </w:tcPr>
          <w:p>
            <w:pPr>
              <w:jc w:val="right"/>
              <w:spacing w:after="0"/>
              <w:rPr>
                <w:sz w:val="20"/>
                <w:szCs w:val="20"/>
                <w:color w:val="auto"/>
              </w:rPr>
            </w:pPr>
            <w:r>
              <w:rPr>
                <w:rFonts w:ascii="Arial" w:cs="Arial" w:eastAsia="Arial" w:hAnsi="Arial"/>
                <w:sz w:val="16"/>
                <w:szCs w:val="16"/>
                <w:color w:val="auto"/>
              </w:rPr>
              <w:t>547</w:t>
            </w:r>
          </w:p>
        </w:tc>
        <w:tc>
          <w:tcPr>
            <w:tcW w:w="100" w:type="dxa"/>
            <w:vAlign w:val="bottom"/>
            <w:shd w:val="clear" w:color="auto" w:fill="D9D9D9"/>
          </w:tcPr>
          <w:p>
            <w:pPr>
              <w:spacing w:after="0"/>
              <w:rPr>
                <w:sz w:val="18"/>
                <w:szCs w:val="18"/>
                <w:color w:val="auto"/>
              </w:rPr>
            </w:pPr>
          </w:p>
        </w:tc>
        <w:tc>
          <w:tcPr>
            <w:tcW w:w="260" w:type="dxa"/>
            <w:vAlign w:val="bottom"/>
            <w:shd w:val="clear" w:color="auto" w:fill="D9D9D9"/>
          </w:tcPr>
          <w:p>
            <w:pPr>
              <w:jc w:val="right"/>
              <w:ind w:right="7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D9D9D9"/>
          </w:tcPr>
          <w:p>
            <w:pPr>
              <w:jc w:val="right"/>
              <w:spacing w:after="0"/>
              <w:rPr>
                <w:sz w:val="20"/>
                <w:szCs w:val="20"/>
                <w:color w:val="auto"/>
              </w:rPr>
            </w:pPr>
            <w:r>
              <w:rPr>
                <w:rFonts w:ascii="Arial" w:cs="Arial" w:eastAsia="Arial" w:hAnsi="Arial"/>
                <w:sz w:val="16"/>
                <w:szCs w:val="16"/>
                <w:color w:val="auto"/>
              </w:rPr>
              <w:t>2,200</w:t>
            </w:r>
          </w:p>
        </w:tc>
        <w:tc>
          <w:tcPr>
            <w:tcW w:w="80" w:type="dxa"/>
            <w:vAlign w:val="bottom"/>
            <w:shd w:val="clear" w:color="auto" w:fill="D9D9D9"/>
          </w:tcPr>
          <w:p>
            <w:pPr>
              <w:spacing w:after="0"/>
              <w:rPr>
                <w:sz w:val="18"/>
                <w:szCs w:val="18"/>
                <w:color w:val="auto"/>
              </w:rPr>
            </w:pPr>
          </w:p>
        </w:tc>
        <w:tc>
          <w:tcPr>
            <w:tcW w:w="400" w:type="dxa"/>
            <w:vAlign w:val="bottom"/>
            <w:shd w:val="clear" w:color="auto" w:fill="D9D9D9"/>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shd w:val="clear" w:color="auto" w:fill="D9D9D9"/>
          </w:tcPr>
          <w:p>
            <w:pPr>
              <w:jc w:val="right"/>
              <w:spacing w:after="0"/>
              <w:rPr>
                <w:sz w:val="20"/>
                <w:szCs w:val="20"/>
                <w:color w:val="auto"/>
              </w:rPr>
            </w:pPr>
            <w:r>
              <w:rPr>
                <w:rFonts w:ascii="Arial" w:cs="Arial" w:eastAsia="Arial" w:hAnsi="Arial"/>
                <w:sz w:val="16"/>
                <w:szCs w:val="16"/>
                <w:color w:val="auto"/>
              </w:rPr>
              <w:t>1,266</w:t>
            </w:r>
          </w:p>
        </w:tc>
        <w:tc>
          <w:tcPr>
            <w:tcW w:w="0" w:type="dxa"/>
            <w:vAlign w:val="bottom"/>
          </w:tcPr>
          <w:p>
            <w:pPr>
              <w:spacing w:after="0"/>
              <w:rPr>
                <w:sz w:val="1"/>
                <w:szCs w:val="1"/>
                <w:color w:val="auto"/>
              </w:rPr>
            </w:pPr>
          </w:p>
        </w:tc>
      </w:tr>
      <w:tr>
        <w:trPr>
          <w:trHeight w:val="95"/>
        </w:trPr>
        <w:tc>
          <w:tcPr>
            <w:tcW w:w="40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Adjustments:</w:t>
            </w:r>
          </w:p>
        </w:tc>
        <w:tc>
          <w:tcPr>
            <w:tcW w:w="260" w:type="dxa"/>
            <w:vAlign w:val="bottom"/>
            <w:shd w:val="clear" w:color="auto" w:fill="DBDBDB"/>
          </w:tcPr>
          <w:p>
            <w:pPr>
              <w:spacing w:after="0"/>
              <w:rPr>
                <w:sz w:val="18"/>
                <w:szCs w:val="18"/>
                <w:color w:val="auto"/>
              </w:rPr>
            </w:pPr>
          </w:p>
        </w:tc>
        <w:tc>
          <w:tcPr>
            <w:tcW w:w="146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3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146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32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080" w:type="dxa"/>
            <w:vAlign w:val="bottom"/>
          </w:tcPr>
          <w:p>
            <w:pPr>
              <w:ind w:left="240"/>
              <w:spacing w:after="0"/>
              <w:rPr>
                <w:sz w:val="20"/>
                <w:szCs w:val="20"/>
                <w:color w:val="auto"/>
              </w:rPr>
            </w:pPr>
            <w:r>
              <w:rPr>
                <w:rFonts w:ascii="Arial" w:cs="Arial" w:eastAsia="Arial" w:hAnsi="Arial"/>
                <w:sz w:val="16"/>
                <w:szCs w:val="16"/>
                <w:color w:val="auto"/>
              </w:rPr>
              <w:t>Unrealized gains on derivatives</w:t>
            </w: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(153)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(309)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(585)</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(182)</w:t>
            </w:r>
          </w:p>
        </w:tc>
        <w:tc>
          <w:tcPr>
            <w:tcW w:w="0" w:type="dxa"/>
            <w:vAlign w:val="bottom"/>
          </w:tcPr>
          <w:p>
            <w:pPr>
              <w:spacing w:after="0"/>
              <w:rPr>
                <w:sz w:val="1"/>
                <w:szCs w:val="1"/>
                <w:color w:val="auto"/>
              </w:rPr>
            </w:pPr>
          </w:p>
        </w:tc>
      </w:tr>
      <w:tr>
        <w:trPr>
          <w:trHeight w:val="217"/>
        </w:trPr>
        <w:tc>
          <w:tcPr>
            <w:tcW w:w="4080" w:type="dxa"/>
            <w:vAlign w:val="bottom"/>
            <w:shd w:val="clear" w:color="auto" w:fill="DBDBDB"/>
          </w:tcPr>
          <w:p>
            <w:pPr>
              <w:ind w:left="240"/>
              <w:spacing w:after="0"/>
              <w:rPr>
                <w:sz w:val="20"/>
                <w:szCs w:val="20"/>
                <w:color w:val="auto"/>
              </w:rPr>
            </w:pPr>
            <w:r>
              <w:rPr>
                <w:rFonts w:ascii="Arial" w:cs="Arial" w:eastAsia="Arial" w:hAnsi="Arial"/>
                <w:sz w:val="16"/>
                <w:szCs w:val="16"/>
                <w:color w:val="auto"/>
              </w:rPr>
              <w:t>Separation and other termination costs</w:t>
            </w:r>
          </w:p>
        </w:tc>
        <w:tc>
          <w:tcPr>
            <w:tcW w:w="260" w:type="dxa"/>
            <w:vAlign w:val="bottom"/>
            <w:shd w:val="clear" w:color="auto" w:fill="DBDBDB"/>
          </w:tcPr>
          <w:p>
            <w:pPr>
              <w:spacing w:after="0"/>
              <w:rPr>
                <w:sz w:val="18"/>
                <w:szCs w:val="18"/>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w:t>
            </w:r>
          </w:p>
        </w:tc>
        <w:tc>
          <w:tcPr>
            <w:tcW w:w="8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5"/>
        </w:trPr>
        <w:tc>
          <w:tcPr>
            <w:tcW w:w="4080" w:type="dxa"/>
            <w:vAlign w:val="bottom"/>
          </w:tcPr>
          <w:p>
            <w:pPr>
              <w:ind w:left="240"/>
              <w:spacing w:after="0"/>
              <w:rPr>
                <w:sz w:val="20"/>
                <w:szCs w:val="20"/>
                <w:color w:val="auto"/>
              </w:rPr>
            </w:pPr>
            <w:r>
              <w:rPr>
                <w:rFonts w:ascii="Arial" w:cs="Arial" w:eastAsia="Arial" w:hAnsi="Arial"/>
                <w:sz w:val="16"/>
                <w:szCs w:val="16"/>
                <w:color w:val="auto"/>
              </w:rPr>
              <w:t>(Gains) losses on sales of assets</w:t>
            </w: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(13)</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7"/>
        </w:trPr>
        <w:tc>
          <w:tcPr>
            <w:tcW w:w="4080" w:type="dxa"/>
            <w:vAlign w:val="bottom"/>
            <w:shd w:val="clear" w:color="auto" w:fill="DBDBDB"/>
          </w:tcPr>
          <w:p>
            <w:pPr>
              <w:ind w:left="240"/>
              <w:spacing w:after="0"/>
              <w:rPr>
                <w:sz w:val="20"/>
                <w:szCs w:val="20"/>
                <w:color w:val="auto"/>
              </w:rPr>
            </w:pPr>
            <w:r>
              <w:rPr>
                <w:rFonts w:ascii="Arial" w:cs="Arial" w:eastAsia="Arial" w:hAnsi="Arial"/>
                <w:sz w:val="16"/>
                <w:szCs w:val="16"/>
                <w:color w:val="auto"/>
              </w:rPr>
              <w:t>Other operating expense (income), net</w:t>
            </w:r>
          </w:p>
        </w:tc>
        <w:tc>
          <w:tcPr>
            <w:tcW w:w="260" w:type="dxa"/>
            <w:vAlign w:val="bottom"/>
            <w:shd w:val="clear" w:color="auto" w:fill="DBDBDB"/>
          </w:tcPr>
          <w:p>
            <w:pPr>
              <w:spacing w:after="0"/>
              <w:rPr>
                <w:sz w:val="18"/>
                <w:szCs w:val="18"/>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(40)</w:t>
            </w:r>
          </w:p>
        </w:tc>
        <w:tc>
          <w:tcPr>
            <w:tcW w:w="10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35</w:t>
            </w:r>
          </w:p>
        </w:tc>
        <w:tc>
          <w:tcPr>
            <w:tcW w:w="8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162"/>
        </w:trPr>
        <w:tc>
          <w:tcPr>
            <w:tcW w:w="4080" w:type="dxa"/>
            <w:vAlign w:val="bottom"/>
          </w:tcPr>
          <w:p>
            <w:pPr>
              <w:ind w:left="240"/>
              <w:spacing w:after="0" w:line="162" w:lineRule="exact"/>
              <w:rPr>
                <w:sz w:val="20"/>
                <w:szCs w:val="20"/>
                <w:color w:val="auto"/>
              </w:rPr>
            </w:pPr>
            <w:r>
              <w:rPr>
                <w:rFonts w:ascii="Arial" w:cs="Arial" w:eastAsia="Arial" w:hAnsi="Arial"/>
                <w:sz w:val="16"/>
                <w:szCs w:val="16"/>
                <w:color w:val="auto"/>
              </w:rPr>
              <w:t>Gains on purchases, exchanges or</w:t>
            </w:r>
          </w:p>
        </w:tc>
        <w:tc>
          <w:tcPr>
            <w:tcW w:w="260" w:type="dxa"/>
            <w:vAlign w:val="bottom"/>
          </w:tcPr>
          <w:p>
            <w:pPr>
              <w:spacing w:after="0"/>
              <w:rPr>
                <w:sz w:val="14"/>
                <w:szCs w:val="14"/>
                <w:color w:val="auto"/>
              </w:rPr>
            </w:pPr>
          </w:p>
        </w:tc>
        <w:tc>
          <w:tcPr>
            <w:tcW w:w="15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vMerge w:val="restart"/>
          </w:tcPr>
          <w:p>
            <w:pPr>
              <w:jc w:val="right"/>
              <w:spacing w:after="0"/>
              <w:rPr>
                <w:sz w:val="20"/>
                <w:szCs w:val="20"/>
                <w:color w:val="auto"/>
              </w:rPr>
            </w:pPr>
            <w:r>
              <w:rPr>
                <w:rFonts w:ascii="Arial" w:cs="Arial" w:eastAsia="Arial" w:hAnsi="Arial"/>
                <w:sz w:val="16"/>
                <w:szCs w:val="16"/>
                <w:color w:val="auto"/>
              </w:rPr>
              <w:t>(37)</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33"/>
        </w:trPr>
        <w:tc>
          <w:tcPr>
            <w:tcW w:w="4080" w:type="dxa"/>
            <w:vAlign w:val="bottom"/>
            <w:vMerge w:val="restart"/>
          </w:tcPr>
          <w:p>
            <w:pPr>
              <w:ind w:left="240"/>
              <w:spacing w:after="0"/>
              <w:rPr>
                <w:sz w:val="20"/>
                <w:szCs w:val="20"/>
                <w:color w:val="auto"/>
              </w:rPr>
            </w:pPr>
            <w:r>
              <w:rPr>
                <w:rFonts w:ascii="Arial" w:cs="Arial" w:eastAsia="Arial" w:hAnsi="Arial"/>
                <w:sz w:val="16"/>
                <w:szCs w:val="16"/>
                <w:color w:val="auto"/>
              </w:rPr>
              <w:t>extinguishments of debt</w:t>
            </w:r>
          </w:p>
        </w:tc>
        <w:tc>
          <w:tcPr>
            <w:tcW w:w="260" w:type="dxa"/>
            <w:vAlign w:val="bottom"/>
          </w:tcPr>
          <w:p>
            <w:pPr>
              <w:spacing w:after="0"/>
              <w:rPr>
                <w:sz w:val="11"/>
                <w:szCs w:val="11"/>
                <w:color w:val="auto"/>
              </w:rPr>
            </w:pPr>
          </w:p>
        </w:tc>
        <w:tc>
          <w:tcPr>
            <w:tcW w:w="1560" w:type="dxa"/>
            <w:vAlign w:val="bottom"/>
            <w:gridSpan w:val="2"/>
            <w:vMerge w:val="continue"/>
          </w:tcPr>
          <w:p>
            <w:pPr>
              <w:spacing w:after="0"/>
              <w:rPr>
                <w:sz w:val="11"/>
                <w:szCs w:val="11"/>
                <w:color w:val="auto"/>
              </w:rPr>
            </w:pPr>
          </w:p>
        </w:tc>
        <w:tc>
          <w:tcPr>
            <w:tcW w:w="400" w:type="dxa"/>
            <w:vAlign w:val="bottom"/>
          </w:tcPr>
          <w:p>
            <w:pPr>
              <w:spacing w:after="0"/>
              <w:rPr>
                <w:sz w:val="11"/>
                <w:szCs w:val="11"/>
                <w:color w:val="auto"/>
              </w:rPr>
            </w:pPr>
          </w:p>
        </w:tc>
        <w:tc>
          <w:tcPr>
            <w:tcW w:w="13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408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6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4080" w:type="dxa"/>
            <w:vAlign w:val="bottom"/>
            <w:shd w:val="clear" w:color="auto" w:fill="DBDBDB"/>
          </w:tcPr>
          <w:p>
            <w:pPr>
              <w:ind w:left="240"/>
              <w:spacing w:after="0"/>
              <w:rPr>
                <w:sz w:val="20"/>
                <w:szCs w:val="20"/>
                <w:color w:val="auto"/>
              </w:rPr>
            </w:pPr>
            <w:r>
              <w:rPr>
                <w:rFonts w:ascii="Arial" w:cs="Arial" w:eastAsia="Arial" w:hAnsi="Arial"/>
                <w:sz w:val="16"/>
                <w:szCs w:val="16"/>
                <w:color w:val="auto"/>
              </w:rPr>
              <w:t>Contract amortization</w:t>
            </w:r>
          </w:p>
        </w:tc>
        <w:tc>
          <w:tcPr>
            <w:tcW w:w="260" w:type="dxa"/>
            <w:vAlign w:val="bottom"/>
            <w:shd w:val="clear" w:color="auto" w:fill="DBDBDB"/>
          </w:tcPr>
          <w:p>
            <w:pPr>
              <w:spacing w:after="0"/>
              <w:rPr>
                <w:sz w:val="18"/>
                <w:szCs w:val="18"/>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(39)</w:t>
            </w:r>
          </w:p>
        </w:tc>
        <w:tc>
          <w:tcPr>
            <w:tcW w:w="10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(47)</w:t>
            </w:r>
          </w:p>
        </w:tc>
        <w:tc>
          <w:tcPr>
            <w:tcW w:w="10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(137)</w:t>
            </w:r>
          </w:p>
        </w:tc>
        <w:tc>
          <w:tcPr>
            <w:tcW w:w="8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(171)</w:t>
            </w:r>
          </w:p>
        </w:tc>
        <w:tc>
          <w:tcPr>
            <w:tcW w:w="0" w:type="dxa"/>
            <w:vAlign w:val="bottom"/>
          </w:tcPr>
          <w:p>
            <w:pPr>
              <w:spacing w:after="0"/>
              <w:rPr>
                <w:sz w:val="1"/>
                <w:szCs w:val="1"/>
                <w:color w:val="auto"/>
              </w:rPr>
            </w:pPr>
          </w:p>
        </w:tc>
      </w:tr>
      <w:tr>
        <w:trPr>
          <w:trHeight w:val="215"/>
        </w:trPr>
        <w:tc>
          <w:tcPr>
            <w:tcW w:w="4080" w:type="dxa"/>
            <w:vAlign w:val="bottom"/>
          </w:tcPr>
          <w:p>
            <w:pPr>
              <w:ind w:left="240"/>
              <w:spacing w:after="0"/>
              <w:rPr>
                <w:sz w:val="20"/>
                <w:szCs w:val="20"/>
                <w:color w:val="auto"/>
              </w:rPr>
            </w:pPr>
            <w:r>
              <w:rPr>
                <w:rFonts w:ascii="Arial" w:cs="Arial" w:eastAsia="Arial" w:hAnsi="Arial"/>
                <w:sz w:val="16"/>
                <w:szCs w:val="16"/>
                <w:color w:val="auto"/>
              </w:rPr>
              <w:t>Other</w:t>
            </w: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(21)</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7"/>
        </w:trPr>
        <w:tc>
          <w:tcPr>
            <w:tcW w:w="4080" w:type="dxa"/>
            <w:vAlign w:val="bottom"/>
            <w:shd w:val="clear" w:color="auto" w:fill="DBDBDB"/>
          </w:tcPr>
          <w:p>
            <w:pPr>
              <w:ind w:left="240"/>
              <w:spacing w:after="0"/>
              <w:rPr>
                <w:sz w:val="20"/>
                <w:szCs w:val="20"/>
                <w:color w:val="auto"/>
              </w:rPr>
            </w:pPr>
            <w:r>
              <w:rPr>
                <w:rFonts w:ascii="Arial" w:cs="Arial" w:eastAsia="Arial" w:hAnsi="Arial"/>
                <w:sz w:val="16"/>
                <w:szCs w:val="16"/>
                <w:color w:val="auto"/>
              </w:rPr>
              <w:t>Deferred income tax benefit</w:t>
            </w:r>
          </w:p>
        </w:tc>
        <w:tc>
          <w:tcPr>
            <w:tcW w:w="260" w:type="dxa"/>
            <w:vAlign w:val="bottom"/>
            <w:shd w:val="clear" w:color="auto" w:fill="DBDBDB"/>
          </w:tcPr>
          <w:p>
            <w:pPr>
              <w:spacing w:after="0"/>
              <w:rPr>
                <w:sz w:val="18"/>
                <w:szCs w:val="18"/>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(37)</w:t>
            </w:r>
          </w:p>
        </w:tc>
        <w:tc>
          <w:tcPr>
            <w:tcW w:w="10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42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DBDBDB"/>
          </w:tcPr>
          <w:p>
            <w:pPr>
              <w:spacing w:after="0"/>
              <w:rPr>
                <w:sz w:val="18"/>
                <w:szCs w:val="18"/>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(37)</w:t>
            </w:r>
          </w:p>
        </w:tc>
        <w:tc>
          <w:tcPr>
            <w:tcW w:w="8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080" w:type="dxa"/>
            <w:vAlign w:val="bottom"/>
            <w:tcBorders>
              <w:bottom w:val="single" w:sz="8" w:color="DBDBDB"/>
            </w:tcBorders>
          </w:tcPr>
          <w:p>
            <w:pPr>
              <w:ind w:left="240"/>
              <w:spacing w:after="0" w:line="216" w:lineRule="exact"/>
              <w:rPr>
                <w:sz w:val="20"/>
                <w:szCs w:val="20"/>
                <w:color w:val="auto"/>
              </w:rPr>
            </w:pPr>
            <w:r>
              <w:rPr>
                <w:rFonts w:ascii="Arial" w:cs="Arial" w:eastAsia="Arial" w:hAnsi="Arial"/>
                <w:sz w:val="16"/>
                <w:szCs w:val="16"/>
                <w:color w:val="auto"/>
              </w:rPr>
              <w:t>Tax effect of adjustments</w:t>
            </w:r>
            <w:r>
              <w:rPr>
                <w:rFonts w:ascii="Arial" w:cs="Arial" w:eastAsia="Arial" w:hAnsi="Arial"/>
                <w:sz w:val="21"/>
                <w:szCs w:val="21"/>
                <w:color w:val="auto"/>
                <w:vertAlign w:val="superscript"/>
              </w:rPr>
              <w:t>(a)</w:t>
            </w:r>
          </w:p>
        </w:tc>
        <w:tc>
          <w:tcPr>
            <w:tcW w:w="2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DBDBDB"/>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w:t>
            </w:r>
          </w:p>
        </w:tc>
        <w:tc>
          <w:tcPr>
            <w:tcW w:w="100" w:type="dxa"/>
            <w:vAlign w:val="bottom"/>
            <w:tcBorders>
              <w:bottom w:val="single" w:sz="8" w:color="DBDBDB"/>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w:t>
            </w:r>
          </w:p>
        </w:tc>
        <w:tc>
          <w:tcPr>
            <w:tcW w:w="80" w:type="dxa"/>
            <w:vAlign w:val="bottom"/>
            <w:tcBorders>
              <w:bottom w:val="single" w:sz="8" w:color="DBDBDB"/>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34"/>
        </w:trPr>
        <w:tc>
          <w:tcPr>
            <w:tcW w:w="40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b w:val="1"/>
                <w:bCs w:val="1"/>
                <w:color w:val="auto"/>
              </w:rPr>
              <w:t>Adjusted net income (Non-GAAP)</w:t>
            </w:r>
          </w:p>
        </w:tc>
        <w:tc>
          <w:tcPr>
            <w:tcW w:w="260" w:type="dxa"/>
            <w:vAlign w:val="bottom"/>
            <w:tcBorders>
              <w:bottom w:val="single" w:sz="8" w:color="auto"/>
            </w:tcBorders>
            <w:shd w:val="clear" w:color="auto" w:fill="DBDBDB"/>
          </w:tcPr>
          <w:p>
            <w:pPr>
              <w:jc w:val="right"/>
              <w:ind w:right="5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338</w:t>
            </w:r>
          </w:p>
        </w:tc>
        <w:tc>
          <w:tcPr>
            <w:tcW w:w="100" w:type="dxa"/>
            <w:vAlign w:val="bottom"/>
            <w:tcBorders>
              <w:bottom w:val="single" w:sz="8" w:color="DBDBDB"/>
            </w:tcBorders>
            <w:shd w:val="clear" w:color="auto" w:fill="DBDBDB"/>
          </w:tcPr>
          <w:p>
            <w:pPr>
              <w:spacing w:after="0"/>
              <w:rPr>
                <w:sz w:val="19"/>
                <w:szCs w:val="19"/>
                <w:color w:val="auto"/>
              </w:rPr>
            </w:pPr>
          </w:p>
        </w:tc>
        <w:tc>
          <w:tcPr>
            <w:tcW w:w="400" w:type="dxa"/>
            <w:vAlign w:val="bottom"/>
            <w:tcBorders>
              <w:bottom w:val="single" w:sz="8" w:color="auto"/>
            </w:tcBorders>
            <w:shd w:val="clear" w:color="auto" w:fill="DBDBDB"/>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234</w:t>
            </w:r>
          </w:p>
        </w:tc>
        <w:tc>
          <w:tcPr>
            <w:tcW w:w="100" w:type="dxa"/>
            <w:vAlign w:val="bottom"/>
            <w:tcBorders>
              <w:bottom w:val="single" w:sz="8" w:color="DBDBDB"/>
            </w:tcBorders>
            <w:shd w:val="clear" w:color="auto" w:fill="DBDBDB"/>
          </w:tcPr>
          <w:p>
            <w:pPr>
              <w:spacing w:after="0"/>
              <w:rPr>
                <w:sz w:val="19"/>
                <w:szCs w:val="19"/>
                <w:color w:val="auto"/>
              </w:rPr>
            </w:pPr>
          </w:p>
        </w:tc>
        <w:tc>
          <w:tcPr>
            <w:tcW w:w="260" w:type="dxa"/>
            <w:vAlign w:val="bottom"/>
            <w:tcBorders>
              <w:bottom w:val="single" w:sz="8" w:color="auto"/>
            </w:tcBorders>
            <w:shd w:val="clear" w:color="auto" w:fill="DBDBDB"/>
          </w:tcPr>
          <w:p>
            <w:pPr>
              <w:jc w:val="right"/>
              <w:ind w:right="7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1,578</w:t>
            </w:r>
          </w:p>
        </w:tc>
        <w:tc>
          <w:tcPr>
            <w:tcW w:w="80" w:type="dxa"/>
            <w:vAlign w:val="bottom"/>
            <w:tcBorders>
              <w:bottom w:val="single" w:sz="8" w:color="DBDBDB"/>
            </w:tcBorders>
            <w:shd w:val="clear" w:color="auto" w:fill="DBDBDB"/>
          </w:tcPr>
          <w:p>
            <w:pPr>
              <w:spacing w:after="0"/>
              <w:rPr>
                <w:sz w:val="19"/>
                <w:szCs w:val="19"/>
                <w:color w:val="auto"/>
              </w:rPr>
            </w:pPr>
          </w:p>
        </w:tc>
        <w:tc>
          <w:tcPr>
            <w:tcW w:w="400" w:type="dxa"/>
            <w:vAlign w:val="bottom"/>
            <w:tcBorders>
              <w:bottom w:val="single" w:sz="8" w:color="auto"/>
            </w:tcBorders>
            <w:shd w:val="clear" w:color="auto" w:fill="DBDBDB"/>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986</w:t>
            </w:r>
          </w:p>
        </w:tc>
        <w:tc>
          <w:tcPr>
            <w:tcW w:w="0" w:type="dxa"/>
            <w:vAlign w:val="bottom"/>
          </w:tcPr>
          <w:p>
            <w:pPr>
              <w:spacing w:after="0"/>
              <w:rPr>
                <w:sz w:val="1"/>
                <w:szCs w:val="1"/>
                <w:color w:val="auto"/>
              </w:rPr>
            </w:pPr>
          </w:p>
        </w:tc>
      </w:tr>
      <w:tr>
        <w:trPr>
          <w:trHeight w:val="20"/>
        </w:trPr>
        <w:tc>
          <w:tcPr>
            <w:tcW w:w="408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14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13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146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132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380" w:right="20" w:hanging="354"/>
        <w:spacing w:after="0" w:line="182" w:lineRule="auto"/>
        <w:tabs>
          <w:tab w:leader="none" w:pos="380" w:val="left"/>
        </w:tabs>
        <w:numPr>
          <w:ilvl w:val="0"/>
          <w:numId w:val="6"/>
        </w:numPr>
        <w:rPr>
          <w:rFonts w:ascii="Arial" w:cs="Arial" w:eastAsia="Arial" w:hAnsi="Arial"/>
          <w:sz w:val="28"/>
          <w:szCs w:val="28"/>
          <w:color w:val="auto"/>
          <w:vertAlign w:val="superscript"/>
        </w:rPr>
      </w:pPr>
      <w:r>
        <w:rPr>
          <w:rFonts w:ascii="Arial" w:cs="Arial" w:eastAsia="Arial" w:hAnsi="Arial"/>
          <w:sz w:val="15"/>
          <w:szCs w:val="15"/>
          <w:color w:val="auto"/>
        </w:rPr>
        <w:t>The three- and nine-month periods ended September 30, 2026 and September 30, 2025 include a tax effect attributed to the reconciling adjustments using a statutory rate of 22%.</w:t>
      </w:r>
    </w:p>
    <w:p>
      <w:pPr>
        <w:spacing w:after="0" w:line="295" w:lineRule="exact"/>
        <w:rPr>
          <w:sz w:val="20"/>
          <w:szCs w:val="20"/>
          <w:color w:val="auto"/>
        </w:rPr>
      </w:pPr>
    </w:p>
    <w:p>
      <w:pPr>
        <w:ind w:left="20" w:right="2820"/>
        <w:spacing w:after="0" w:line="249" w:lineRule="auto"/>
        <w:rPr>
          <w:sz w:val="20"/>
          <w:szCs w:val="20"/>
          <w:color w:val="auto"/>
        </w:rPr>
      </w:pPr>
      <w:r>
        <w:rPr>
          <w:rFonts w:ascii="Arial" w:cs="Arial" w:eastAsia="Arial" w:hAnsi="Arial"/>
          <w:sz w:val="18"/>
          <w:szCs w:val="18"/>
          <w:b w:val="1"/>
          <w:bCs w:val="1"/>
          <w:color w:val="00386C"/>
        </w:rPr>
        <w:t>RECONCILIATION OF EARNINGS PER COMMON SHARE TO ADJUSTED DILUTED EARNINGS PER COMMON SHARE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57607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380" w:type="dxa"/>
            <w:vAlign w:val="bottom"/>
            <w:gridSpan w:val="5"/>
          </w:tcPr>
          <w:p>
            <w:pPr>
              <w:ind w:left="140"/>
              <w:spacing w:after="0"/>
              <w:rPr>
                <w:sz w:val="20"/>
                <w:szCs w:val="20"/>
                <w:color w:val="auto"/>
              </w:rPr>
            </w:pPr>
            <w:r>
              <w:rPr>
                <w:rFonts w:ascii="Arial" w:cs="Arial" w:eastAsia="Arial" w:hAnsi="Arial"/>
                <w:sz w:val="16"/>
                <w:szCs w:val="16"/>
                <w:b w:val="1"/>
                <w:bCs w:val="1"/>
                <w:color w:val="auto"/>
              </w:rPr>
              <w:t>Three Months Ended September 30,</w:t>
            </w:r>
          </w:p>
        </w:tc>
        <w:tc>
          <w:tcPr>
            <w:tcW w:w="260" w:type="dxa"/>
            <w:vAlign w:val="bottom"/>
          </w:tcPr>
          <w:p>
            <w:pPr>
              <w:spacing w:after="0"/>
              <w:rPr>
                <w:sz w:val="18"/>
                <w:szCs w:val="18"/>
                <w:color w:val="auto"/>
              </w:rPr>
            </w:pPr>
          </w:p>
        </w:tc>
        <w:tc>
          <w:tcPr>
            <w:tcW w:w="3260" w:type="dxa"/>
            <w:vAlign w:val="bottom"/>
            <w:gridSpan w:val="4"/>
          </w:tcPr>
          <w:p>
            <w:pPr>
              <w:jc w:val="right"/>
              <w:ind w:right="339"/>
              <w:spacing w:after="0"/>
              <w:rPr>
                <w:sz w:val="20"/>
                <w:szCs w:val="20"/>
                <w:color w:val="auto"/>
              </w:rPr>
            </w:pPr>
            <w:r>
              <w:rPr>
                <w:rFonts w:ascii="Arial" w:cs="Arial" w:eastAsia="Arial" w:hAnsi="Arial"/>
                <w:sz w:val="16"/>
                <w:szCs w:val="16"/>
                <w:b w:val="1"/>
                <w:bCs w:val="1"/>
                <w:color w:val="auto"/>
              </w:rPr>
              <w:t>Nine Months Ended September 30,</w:t>
            </w:r>
          </w:p>
        </w:tc>
        <w:tc>
          <w:tcPr>
            <w:tcW w:w="0" w:type="dxa"/>
            <w:vAlign w:val="bottom"/>
          </w:tcPr>
          <w:p>
            <w:pPr>
              <w:spacing w:after="0"/>
              <w:rPr>
                <w:sz w:val="1"/>
                <w:szCs w:val="1"/>
                <w:color w:val="auto"/>
              </w:rPr>
            </w:pPr>
          </w:p>
        </w:tc>
      </w:tr>
      <w:tr>
        <w:trPr>
          <w:trHeight w:val="209"/>
        </w:trPr>
        <w:tc>
          <w:tcPr>
            <w:tcW w:w="4080" w:type="dxa"/>
            <w:vAlign w:val="bottom"/>
            <w:tcBorders>
              <w:bottom w:val="single" w:sz="8" w:color="DBDBDB"/>
            </w:tcBorders>
          </w:tcPr>
          <w:p>
            <w:pPr>
              <w:ind w:left="20"/>
              <w:spacing w:after="0"/>
              <w:rPr>
                <w:sz w:val="20"/>
                <w:szCs w:val="20"/>
                <w:color w:val="auto"/>
              </w:rPr>
            </w:pPr>
            <w:r>
              <w:rPr>
                <w:rFonts w:ascii="Arial" w:cs="Arial" w:eastAsia="Arial" w:hAnsi="Arial"/>
                <w:sz w:val="16"/>
                <w:szCs w:val="16"/>
                <w:i w:val="1"/>
                <w:iCs w:val="1"/>
                <w:color w:val="auto"/>
              </w:rPr>
              <w:t>($/share)</w:t>
            </w:r>
          </w:p>
        </w:tc>
        <w:tc>
          <w:tcPr>
            <w:tcW w:w="26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top w:val="single" w:sz="8" w:color="auto"/>
              <w:bottom w:val="single" w:sz="8" w:color="DBDBDB"/>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DBDBDB"/>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2026</w:t>
            </w:r>
          </w:p>
        </w:tc>
        <w:tc>
          <w:tcPr>
            <w:tcW w:w="80" w:type="dxa"/>
            <w:vAlign w:val="bottom"/>
            <w:tcBorders>
              <w:top w:val="single" w:sz="8" w:color="auto"/>
              <w:bottom w:val="single" w:sz="8" w:color="DBDBDB"/>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210"/>
        </w:trPr>
        <w:tc>
          <w:tcPr>
            <w:tcW w:w="408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Earnings per common share (GAAP)</w:t>
            </w:r>
          </w:p>
        </w:tc>
        <w:tc>
          <w:tcPr>
            <w:tcW w:w="260" w:type="dxa"/>
            <w:vAlign w:val="bottom"/>
            <w:shd w:val="clear" w:color="auto" w:fill="DBDBDB"/>
          </w:tcPr>
          <w:p>
            <w:pPr>
              <w:jc w:val="right"/>
              <w:ind w:right="59"/>
              <w:spacing w:after="0"/>
              <w:rPr>
                <w:sz w:val="20"/>
                <w:szCs w:val="20"/>
                <w:color w:val="auto"/>
              </w:rPr>
            </w:pPr>
            <w:r>
              <w:rPr>
                <w:rFonts w:ascii="Arial" w:cs="Arial" w:eastAsia="Arial" w:hAnsi="Arial"/>
                <w:sz w:val="16"/>
                <w:szCs w:val="16"/>
                <w:color w:val="auto"/>
              </w:rPr>
              <w:t>$</w:t>
            </w:r>
          </w:p>
        </w:tc>
        <w:tc>
          <w:tcPr>
            <w:tcW w:w="14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2.24</w:t>
            </w:r>
          </w:p>
        </w:tc>
        <w:tc>
          <w:tcPr>
            <w:tcW w:w="100" w:type="dxa"/>
            <w:vAlign w:val="bottom"/>
            <w:shd w:val="clear" w:color="auto" w:fill="DBDBDB"/>
          </w:tcPr>
          <w:p>
            <w:pPr>
              <w:spacing w:after="0"/>
              <w:rPr>
                <w:sz w:val="18"/>
                <w:szCs w:val="18"/>
                <w:color w:val="auto"/>
              </w:rPr>
            </w:pPr>
          </w:p>
        </w:tc>
        <w:tc>
          <w:tcPr>
            <w:tcW w:w="400" w:type="dxa"/>
            <w:vAlign w:val="bottom"/>
            <w:shd w:val="clear" w:color="auto" w:fill="DBDBDB"/>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2.30</w:t>
            </w:r>
          </w:p>
        </w:tc>
        <w:tc>
          <w:tcPr>
            <w:tcW w:w="100" w:type="dxa"/>
            <w:vAlign w:val="bottom"/>
            <w:shd w:val="clear" w:color="auto" w:fill="DBDBDB"/>
          </w:tcPr>
          <w:p>
            <w:pPr>
              <w:spacing w:after="0"/>
              <w:rPr>
                <w:sz w:val="18"/>
                <w:szCs w:val="18"/>
                <w:color w:val="auto"/>
              </w:rPr>
            </w:pPr>
          </w:p>
        </w:tc>
        <w:tc>
          <w:tcPr>
            <w:tcW w:w="260" w:type="dxa"/>
            <w:vAlign w:val="bottom"/>
            <w:shd w:val="clear" w:color="auto" w:fill="DBDBDB"/>
          </w:tcPr>
          <w:p>
            <w:pPr>
              <w:jc w:val="right"/>
              <w:ind w:right="7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DBDBDB"/>
          </w:tcPr>
          <w:p>
            <w:pPr>
              <w:jc w:val="center"/>
              <w:ind w:left="899"/>
              <w:spacing w:after="0"/>
              <w:rPr>
                <w:sz w:val="20"/>
                <w:szCs w:val="20"/>
                <w:color w:val="auto"/>
              </w:rPr>
            </w:pPr>
            <w:r>
              <w:rPr>
                <w:rFonts w:ascii="Arial" w:cs="Arial" w:eastAsia="Arial" w:hAnsi="Arial"/>
                <w:sz w:val="16"/>
                <w:szCs w:val="16"/>
                <w:color w:val="auto"/>
              </w:rPr>
              <w:t>9.30</w:t>
            </w:r>
          </w:p>
        </w:tc>
        <w:tc>
          <w:tcPr>
            <w:tcW w:w="80" w:type="dxa"/>
            <w:vAlign w:val="bottom"/>
            <w:shd w:val="clear" w:color="auto" w:fill="DBDBDB"/>
          </w:tcPr>
          <w:p>
            <w:pPr>
              <w:spacing w:after="0"/>
              <w:rPr>
                <w:sz w:val="18"/>
                <w:szCs w:val="18"/>
                <w:color w:val="auto"/>
              </w:rPr>
            </w:pPr>
          </w:p>
        </w:tc>
        <w:tc>
          <w:tcPr>
            <w:tcW w:w="400" w:type="dxa"/>
            <w:vAlign w:val="bottom"/>
            <w:shd w:val="clear" w:color="auto" w:fill="DBDBDB"/>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5.34</w:t>
            </w:r>
          </w:p>
        </w:tc>
        <w:tc>
          <w:tcPr>
            <w:tcW w:w="0" w:type="dxa"/>
            <w:vAlign w:val="bottom"/>
          </w:tcPr>
          <w:p>
            <w:pPr>
              <w:spacing w:after="0"/>
              <w:rPr>
                <w:sz w:val="1"/>
                <w:szCs w:val="1"/>
                <w:color w:val="auto"/>
              </w:rPr>
            </w:pPr>
          </w:p>
        </w:tc>
      </w:tr>
      <w:tr>
        <w:trPr>
          <w:trHeight w:val="215"/>
        </w:trPr>
        <w:tc>
          <w:tcPr>
            <w:tcW w:w="4080" w:type="dxa"/>
            <w:vAlign w:val="bottom"/>
          </w:tcPr>
          <w:p>
            <w:pPr>
              <w:ind w:left="240"/>
              <w:spacing w:after="0"/>
              <w:rPr>
                <w:sz w:val="20"/>
                <w:szCs w:val="20"/>
                <w:color w:val="auto"/>
              </w:rPr>
            </w:pPr>
            <w:r>
              <w:rPr>
                <w:rFonts w:ascii="Arial" w:cs="Arial" w:eastAsia="Arial" w:hAnsi="Arial"/>
                <w:sz w:val="16"/>
                <w:szCs w:val="16"/>
                <w:color w:val="auto"/>
              </w:rPr>
              <w:t>Effect of dilutive securities</w:t>
            </w:r>
          </w:p>
        </w:tc>
        <w:tc>
          <w:tcPr>
            <w:tcW w:w="26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(0.02)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jc w:val="center"/>
              <w:ind w:left="879"/>
              <w:spacing w:after="0"/>
              <w:rPr>
                <w:sz w:val="20"/>
                <w:szCs w:val="20"/>
                <w:color w:val="auto"/>
              </w:rPr>
            </w:pPr>
            <w:r>
              <w:rPr>
                <w:rFonts w:ascii="Arial" w:cs="Arial" w:eastAsia="Arial" w:hAnsi="Arial"/>
                <w:sz w:val="16"/>
                <w:szCs w:val="16"/>
                <w:color w:val="auto"/>
              </w:rPr>
              <w:t>(0.01)</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(0.07)</w:t>
            </w:r>
          </w:p>
        </w:tc>
        <w:tc>
          <w:tcPr>
            <w:tcW w:w="0" w:type="dxa"/>
            <w:vAlign w:val="bottom"/>
          </w:tcPr>
          <w:p>
            <w:pPr>
              <w:spacing w:after="0"/>
              <w:rPr>
                <w:sz w:val="1"/>
                <w:szCs w:val="1"/>
                <w:color w:val="auto"/>
              </w:rPr>
            </w:pPr>
          </w:p>
        </w:tc>
      </w:tr>
      <w:tr>
        <w:trPr>
          <w:trHeight w:val="210"/>
        </w:trPr>
        <w:tc>
          <w:tcPr>
            <w:tcW w:w="4080" w:type="dxa"/>
            <w:vAlign w:val="bottom"/>
            <w:tcBorders>
              <w:top w:val="single" w:sz="8" w:color="DBDBDB"/>
            </w:tcBorders>
            <w:shd w:val="clear" w:color="auto" w:fill="DBDBDB"/>
          </w:tcPr>
          <w:p>
            <w:pPr>
              <w:ind w:left="240"/>
              <w:spacing w:after="0"/>
              <w:rPr>
                <w:sz w:val="20"/>
                <w:szCs w:val="20"/>
                <w:color w:val="auto"/>
              </w:rPr>
            </w:pPr>
            <w:r>
              <w:rPr>
                <w:rFonts w:ascii="Arial" w:cs="Arial" w:eastAsia="Arial" w:hAnsi="Arial"/>
                <w:sz w:val="16"/>
                <w:szCs w:val="16"/>
                <w:color w:val="auto"/>
              </w:rPr>
              <w:t>Diluted earnings per common share (GAAP)</w:t>
            </w:r>
          </w:p>
        </w:tc>
        <w:tc>
          <w:tcPr>
            <w:tcW w:w="260" w:type="dxa"/>
            <w:vAlign w:val="bottom"/>
            <w:tcBorders>
              <w:top w:val="single" w:sz="8" w:color="auto"/>
            </w:tcBorders>
            <w:shd w:val="clear" w:color="auto" w:fill="DBDBDB"/>
          </w:tcPr>
          <w:p>
            <w:pPr>
              <w:jc w:val="right"/>
              <w:ind w:right="59"/>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2.24</w:t>
            </w:r>
          </w:p>
        </w:tc>
        <w:tc>
          <w:tcPr>
            <w:tcW w:w="100" w:type="dxa"/>
            <w:vAlign w:val="bottom"/>
            <w:tcBorders>
              <w:top w:val="single" w:sz="8" w:color="DBDBDB"/>
            </w:tcBorders>
            <w:shd w:val="clear" w:color="auto" w:fill="DBDBDB"/>
          </w:tcPr>
          <w:p>
            <w:pPr>
              <w:spacing w:after="0"/>
              <w:rPr>
                <w:sz w:val="18"/>
                <w:szCs w:val="18"/>
                <w:color w:val="auto"/>
              </w:rPr>
            </w:pPr>
          </w:p>
        </w:tc>
        <w:tc>
          <w:tcPr>
            <w:tcW w:w="400" w:type="dxa"/>
            <w:vAlign w:val="bottom"/>
            <w:tcBorders>
              <w:top w:val="single" w:sz="8" w:color="auto"/>
            </w:tcBorders>
            <w:shd w:val="clear" w:color="auto" w:fill="DBDBDB"/>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2.28</w:t>
            </w:r>
          </w:p>
        </w:tc>
        <w:tc>
          <w:tcPr>
            <w:tcW w:w="100" w:type="dxa"/>
            <w:vAlign w:val="bottom"/>
            <w:tcBorders>
              <w:top w:val="single" w:sz="8" w:color="DBDBDB"/>
            </w:tcBorders>
            <w:shd w:val="clear" w:color="auto" w:fill="DBDBDB"/>
          </w:tcPr>
          <w:p>
            <w:pPr>
              <w:spacing w:after="0"/>
              <w:rPr>
                <w:sz w:val="18"/>
                <w:szCs w:val="18"/>
                <w:color w:val="auto"/>
              </w:rPr>
            </w:pPr>
          </w:p>
        </w:tc>
        <w:tc>
          <w:tcPr>
            <w:tcW w:w="260" w:type="dxa"/>
            <w:vAlign w:val="bottom"/>
            <w:tcBorders>
              <w:top w:val="single" w:sz="8" w:color="auto"/>
            </w:tcBorders>
            <w:shd w:val="clear" w:color="auto" w:fill="DBDBDB"/>
          </w:tcPr>
          <w:p>
            <w:pPr>
              <w:jc w:val="right"/>
              <w:ind w:right="79"/>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tcBorders>
            <w:shd w:val="clear" w:color="auto" w:fill="DBDBDB"/>
          </w:tcPr>
          <w:p>
            <w:pPr>
              <w:jc w:val="center"/>
              <w:ind w:left="899"/>
              <w:spacing w:after="0"/>
              <w:rPr>
                <w:sz w:val="20"/>
                <w:szCs w:val="20"/>
                <w:color w:val="auto"/>
              </w:rPr>
            </w:pPr>
            <w:r>
              <w:rPr>
                <w:rFonts w:ascii="Arial" w:cs="Arial" w:eastAsia="Arial" w:hAnsi="Arial"/>
                <w:sz w:val="16"/>
                <w:szCs w:val="16"/>
                <w:color w:val="auto"/>
              </w:rPr>
              <w:t>9.29</w:t>
            </w:r>
          </w:p>
        </w:tc>
        <w:tc>
          <w:tcPr>
            <w:tcW w:w="80" w:type="dxa"/>
            <w:vAlign w:val="bottom"/>
            <w:tcBorders>
              <w:top w:val="single" w:sz="8" w:color="DBDBDB"/>
            </w:tcBorders>
            <w:shd w:val="clear" w:color="auto" w:fill="DBDBDB"/>
          </w:tcPr>
          <w:p>
            <w:pPr>
              <w:spacing w:after="0"/>
              <w:rPr>
                <w:sz w:val="18"/>
                <w:szCs w:val="18"/>
                <w:color w:val="auto"/>
              </w:rPr>
            </w:pPr>
          </w:p>
        </w:tc>
        <w:tc>
          <w:tcPr>
            <w:tcW w:w="400" w:type="dxa"/>
            <w:vAlign w:val="bottom"/>
            <w:tcBorders>
              <w:top w:val="single" w:sz="8" w:color="auto"/>
            </w:tcBorders>
            <w:shd w:val="clear" w:color="auto" w:fill="DBDBDB"/>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5.27</w:t>
            </w:r>
          </w:p>
        </w:tc>
        <w:tc>
          <w:tcPr>
            <w:tcW w:w="0" w:type="dxa"/>
            <w:vAlign w:val="bottom"/>
          </w:tcPr>
          <w:p>
            <w:pPr>
              <w:spacing w:after="0"/>
              <w:rPr>
                <w:sz w:val="1"/>
                <w:szCs w:val="1"/>
                <w:color w:val="auto"/>
              </w:rPr>
            </w:pPr>
          </w:p>
        </w:tc>
      </w:tr>
      <w:tr>
        <w:trPr>
          <w:trHeight w:val="95"/>
        </w:trPr>
        <w:tc>
          <w:tcPr>
            <w:tcW w:w="40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Adjustments:</w:t>
            </w:r>
          </w:p>
        </w:tc>
        <w:tc>
          <w:tcPr>
            <w:tcW w:w="260" w:type="dxa"/>
            <w:vAlign w:val="bottom"/>
            <w:shd w:val="clear" w:color="auto" w:fill="DBDBDB"/>
          </w:tcPr>
          <w:p>
            <w:pPr>
              <w:spacing w:after="0"/>
              <w:rPr>
                <w:sz w:val="18"/>
                <w:szCs w:val="18"/>
                <w:color w:val="auto"/>
              </w:rPr>
            </w:pPr>
          </w:p>
        </w:tc>
        <w:tc>
          <w:tcPr>
            <w:tcW w:w="146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3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146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32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080" w:type="dxa"/>
            <w:vAlign w:val="bottom"/>
          </w:tcPr>
          <w:p>
            <w:pPr>
              <w:ind w:left="240"/>
              <w:spacing w:after="0"/>
              <w:rPr>
                <w:sz w:val="20"/>
                <w:szCs w:val="20"/>
                <w:color w:val="auto"/>
              </w:rPr>
            </w:pPr>
            <w:r>
              <w:rPr>
                <w:rFonts w:ascii="Arial" w:cs="Arial" w:eastAsia="Arial" w:hAnsi="Arial"/>
                <w:sz w:val="16"/>
                <w:szCs w:val="16"/>
                <w:color w:val="auto"/>
              </w:rPr>
              <w:t>Unrealized gains on derivatives</w:t>
            </w: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(0.66)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(1.30)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jc w:val="center"/>
              <w:ind w:left="879"/>
              <w:spacing w:after="0"/>
              <w:rPr>
                <w:sz w:val="20"/>
                <w:szCs w:val="20"/>
                <w:color w:val="auto"/>
              </w:rPr>
            </w:pPr>
            <w:r>
              <w:rPr>
                <w:rFonts w:ascii="Arial" w:cs="Arial" w:eastAsia="Arial" w:hAnsi="Arial"/>
                <w:sz w:val="16"/>
                <w:szCs w:val="16"/>
                <w:color w:val="auto"/>
              </w:rPr>
              <w:t>(2.47)</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(0.77)</w:t>
            </w:r>
          </w:p>
        </w:tc>
        <w:tc>
          <w:tcPr>
            <w:tcW w:w="0" w:type="dxa"/>
            <w:vAlign w:val="bottom"/>
          </w:tcPr>
          <w:p>
            <w:pPr>
              <w:spacing w:after="0"/>
              <w:rPr>
                <w:sz w:val="1"/>
                <w:szCs w:val="1"/>
                <w:color w:val="auto"/>
              </w:rPr>
            </w:pPr>
          </w:p>
        </w:tc>
      </w:tr>
      <w:tr>
        <w:trPr>
          <w:trHeight w:val="217"/>
        </w:trPr>
        <w:tc>
          <w:tcPr>
            <w:tcW w:w="4080" w:type="dxa"/>
            <w:vAlign w:val="bottom"/>
            <w:shd w:val="clear" w:color="auto" w:fill="DBDBDB"/>
          </w:tcPr>
          <w:p>
            <w:pPr>
              <w:ind w:left="240"/>
              <w:spacing w:after="0"/>
              <w:rPr>
                <w:sz w:val="20"/>
                <w:szCs w:val="20"/>
                <w:color w:val="auto"/>
              </w:rPr>
            </w:pPr>
            <w:r>
              <w:rPr>
                <w:rFonts w:ascii="Arial" w:cs="Arial" w:eastAsia="Arial" w:hAnsi="Arial"/>
                <w:sz w:val="16"/>
                <w:szCs w:val="16"/>
                <w:color w:val="auto"/>
              </w:rPr>
              <w:t>Separation and other termination costs</w:t>
            </w:r>
          </w:p>
        </w:tc>
        <w:tc>
          <w:tcPr>
            <w:tcW w:w="260" w:type="dxa"/>
            <w:vAlign w:val="bottom"/>
            <w:shd w:val="clear" w:color="auto" w:fill="DBDBDB"/>
          </w:tcPr>
          <w:p>
            <w:pPr>
              <w:spacing w:after="0"/>
              <w:rPr>
                <w:sz w:val="18"/>
                <w:szCs w:val="18"/>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0.01</w:t>
            </w:r>
          </w:p>
        </w:tc>
        <w:tc>
          <w:tcPr>
            <w:tcW w:w="10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0.02</w:t>
            </w:r>
          </w:p>
        </w:tc>
        <w:tc>
          <w:tcPr>
            <w:tcW w:w="10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1460" w:type="dxa"/>
            <w:vAlign w:val="bottom"/>
            <w:shd w:val="clear" w:color="auto" w:fill="DBDBDB"/>
          </w:tcPr>
          <w:p>
            <w:pPr>
              <w:jc w:val="center"/>
              <w:ind w:left="899"/>
              <w:spacing w:after="0"/>
              <w:rPr>
                <w:sz w:val="20"/>
                <w:szCs w:val="20"/>
                <w:color w:val="auto"/>
              </w:rPr>
            </w:pPr>
            <w:r>
              <w:rPr>
                <w:rFonts w:ascii="Arial" w:cs="Arial" w:eastAsia="Arial" w:hAnsi="Arial"/>
                <w:sz w:val="16"/>
                <w:szCs w:val="16"/>
                <w:color w:val="auto"/>
              </w:rPr>
              <w:t>0.05</w:t>
            </w:r>
          </w:p>
        </w:tc>
        <w:tc>
          <w:tcPr>
            <w:tcW w:w="8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0.02</w:t>
            </w:r>
          </w:p>
        </w:tc>
        <w:tc>
          <w:tcPr>
            <w:tcW w:w="0" w:type="dxa"/>
            <w:vAlign w:val="bottom"/>
          </w:tcPr>
          <w:p>
            <w:pPr>
              <w:spacing w:after="0"/>
              <w:rPr>
                <w:sz w:val="1"/>
                <w:szCs w:val="1"/>
                <w:color w:val="auto"/>
              </w:rPr>
            </w:pPr>
          </w:p>
        </w:tc>
      </w:tr>
      <w:tr>
        <w:trPr>
          <w:trHeight w:val="215"/>
        </w:trPr>
        <w:tc>
          <w:tcPr>
            <w:tcW w:w="4080" w:type="dxa"/>
            <w:vAlign w:val="bottom"/>
          </w:tcPr>
          <w:p>
            <w:pPr>
              <w:ind w:left="240"/>
              <w:spacing w:after="0"/>
              <w:rPr>
                <w:sz w:val="20"/>
                <w:szCs w:val="20"/>
                <w:color w:val="auto"/>
              </w:rPr>
            </w:pPr>
            <w:r>
              <w:rPr>
                <w:rFonts w:ascii="Arial" w:cs="Arial" w:eastAsia="Arial" w:hAnsi="Arial"/>
                <w:sz w:val="16"/>
                <w:szCs w:val="16"/>
                <w:color w:val="auto"/>
              </w:rPr>
              <w:t>(Gains) losses on sales of assets</w:t>
            </w: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(0.06)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460" w:type="dxa"/>
            <w:vAlign w:val="bottom"/>
          </w:tcPr>
          <w:p>
            <w:pPr>
              <w:jc w:val="center"/>
              <w:ind w:left="879"/>
              <w:spacing w:after="0"/>
              <w:rPr>
                <w:sz w:val="20"/>
                <w:szCs w:val="20"/>
                <w:color w:val="auto"/>
              </w:rPr>
            </w:pPr>
            <w:r>
              <w:rPr>
                <w:rFonts w:ascii="Arial" w:cs="Arial" w:eastAsia="Arial" w:hAnsi="Arial"/>
                <w:sz w:val="16"/>
                <w:szCs w:val="16"/>
                <w:color w:val="auto"/>
              </w:rPr>
              <w:t>(0.06)</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17"/>
        </w:trPr>
        <w:tc>
          <w:tcPr>
            <w:tcW w:w="4080" w:type="dxa"/>
            <w:vAlign w:val="bottom"/>
            <w:shd w:val="clear" w:color="auto" w:fill="DBDBDB"/>
          </w:tcPr>
          <w:p>
            <w:pPr>
              <w:ind w:left="240"/>
              <w:spacing w:after="0"/>
              <w:rPr>
                <w:sz w:val="20"/>
                <w:szCs w:val="20"/>
                <w:color w:val="auto"/>
              </w:rPr>
            </w:pPr>
            <w:r>
              <w:rPr>
                <w:rFonts w:ascii="Arial" w:cs="Arial" w:eastAsia="Arial" w:hAnsi="Arial"/>
                <w:sz w:val="16"/>
                <w:szCs w:val="16"/>
                <w:color w:val="auto"/>
              </w:rPr>
              <w:t>Other operating expense (income), net</w:t>
            </w:r>
          </w:p>
        </w:tc>
        <w:tc>
          <w:tcPr>
            <w:tcW w:w="260" w:type="dxa"/>
            <w:vAlign w:val="bottom"/>
            <w:shd w:val="clear" w:color="auto" w:fill="DBDBDB"/>
          </w:tcPr>
          <w:p>
            <w:pPr>
              <w:spacing w:after="0"/>
              <w:rPr>
                <w:sz w:val="18"/>
                <w:szCs w:val="18"/>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0.09</w:t>
            </w:r>
          </w:p>
        </w:tc>
        <w:tc>
          <w:tcPr>
            <w:tcW w:w="10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(0.17)</w:t>
            </w:r>
          </w:p>
        </w:tc>
        <w:tc>
          <w:tcPr>
            <w:tcW w:w="10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1460" w:type="dxa"/>
            <w:vAlign w:val="bottom"/>
            <w:shd w:val="clear" w:color="auto" w:fill="DBDBDB"/>
          </w:tcPr>
          <w:p>
            <w:pPr>
              <w:jc w:val="center"/>
              <w:ind w:left="899"/>
              <w:spacing w:after="0"/>
              <w:rPr>
                <w:sz w:val="20"/>
                <w:szCs w:val="20"/>
                <w:color w:val="auto"/>
              </w:rPr>
            </w:pPr>
            <w:r>
              <w:rPr>
                <w:rFonts w:ascii="Arial" w:cs="Arial" w:eastAsia="Arial" w:hAnsi="Arial"/>
                <w:sz w:val="16"/>
                <w:szCs w:val="16"/>
                <w:color w:val="auto"/>
              </w:rPr>
              <w:t>0.15</w:t>
            </w:r>
          </w:p>
        </w:tc>
        <w:tc>
          <w:tcPr>
            <w:tcW w:w="8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0.08</w:t>
            </w:r>
          </w:p>
        </w:tc>
        <w:tc>
          <w:tcPr>
            <w:tcW w:w="0" w:type="dxa"/>
            <w:vAlign w:val="bottom"/>
          </w:tcPr>
          <w:p>
            <w:pPr>
              <w:spacing w:after="0"/>
              <w:rPr>
                <w:sz w:val="1"/>
                <w:szCs w:val="1"/>
                <w:color w:val="auto"/>
              </w:rPr>
            </w:pPr>
          </w:p>
        </w:tc>
      </w:tr>
      <w:tr>
        <w:trPr>
          <w:trHeight w:val="162"/>
        </w:trPr>
        <w:tc>
          <w:tcPr>
            <w:tcW w:w="4080" w:type="dxa"/>
            <w:vAlign w:val="bottom"/>
          </w:tcPr>
          <w:p>
            <w:pPr>
              <w:ind w:left="240"/>
              <w:spacing w:after="0" w:line="162" w:lineRule="exact"/>
              <w:rPr>
                <w:sz w:val="20"/>
                <w:szCs w:val="20"/>
                <w:color w:val="auto"/>
              </w:rPr>
            </w:pPr>
            <w:r>
              <w:rPr>
                <w:rFonts w:ascii="Arial" w:cs="Arial" w:eastAsia="Arial" w:hAnsi="Arial"/>
                <w:sz w:val="16"/>
                <w:szCs w:val="16"/>
                <w:color w:val="auto"/>
              </w:rPr>
              <w:t>Gains on purchases, exchanges or</w:t>
            </w:r>
          </w:p>
        </w:tc>
        <w:tc>
          <w:tcPr>
            <w:tcW w:w="260" w:type="dxa"/>
            <w:vAlign w:val="bottom"/>
          </w:tcPr>
          <w:p>
            <w:pPr>
              <w:spacing w:after="0"/>
              <w:rPr>
                <w:sz w:val="14"/>
                <w:szCs w:val="14"/>
                <w:color w:val="auto"/>
              </w:rPr>
            </w:pPr>
          </w:p>
        </w:tc>
        <w:tc>
          <w:tcPr>
            <w:tcW w:w="15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4"/>
                <w:szCs w:val="14"/>
                <w:color w:val="auto"/>
              </w:rPr>
            </w:pPr>
          </w:p>
        </w:tc>
        <w:tc>
          <w:tcPr>
            <w:tcW w:w="14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4"/>
                <w:szCs w:val="14"/>
                <w:color w:val="auto"/>
              </w:rPr>
            </w:pPr>
          </w:p>
        </w:tc>
        <w:tc>
          <w:tcPr>
            <w:tcW w:w="1460" w:type="dxa"/>
            <w:vAlign w:val="bottom"/>
            <w:vMerge w:val="restart"/>
          </w:tcPr>
          <w:p>
            <w:pPr>
              <w:jc w:val="center"/>
              <w:ind w:left="879"/>
              <w:spacing w:after="0"/>
              <w:rPr>
                <w:sz w:val="20"/>
                <w:szCs w:val="20"/>
                <w:color w:val="auto"/>
              </w:rPr>
            </w:pPr>
            <w:r>
              <w:rPr>
                <w:rFonts w:ascii="Arial" w:cs="Arial" w:eastAsia="Arial" w:hAnsi="Arial"/>
                <w:sz w:val="16"/>
                <w:szCs w:val="16"/>
                <w:color w:val="auto"/>
              </w:rPr>
              <w:t>(0.16)</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(0.02)</w:t>
            </w:r>
          </w:p>
        </w:tc>
        <w:tc>
          <w:tcPr>
            <w:tcW w:w="0" w:type="dxa"/>
            <w:vAlign w:val="bottom"/>
          </w:tcPr>
          <w:p>
            <w:pPr>
              <w:spacing w:after="0"/>
              <w:rPr>
                <w:sz w:val="1"/>
                <w:szCs w:val="1"/>
                <w:color w:val="auto"/>
              </w:rPr>
            </w:pPr>
          </w:p>
        </w:tc>
      </w:tr>
      <w:tr>
        <w:trPr>
          <w:trHeight w:val="133"/>
        </w:trPr>
        <w:tc>
          <w:tcPr>
            <w:tcW w:w="4080" w:type="dxa"/>
            <w:vAlign w:val="bottom"/>
            <w:vMerge w:val="restart"/>
          </w:tcPr>
          <w:p>
            <w:pPr>
              <w:ind w:left="240"/>
              <w:spacing w:after="0"/>
              <w:rPr>
                <w:sz w:val="20"/>
                <w:szCs w:val="20"/>
                <w:color w:val="auto"/>
              </w:rPr>
            </w:pPr>
            <w:r>
              <w:rPr>
                <w:rFonts w:ascii="Arial" w:cs="Arial" w:eastAsia="Arial" w:hAnsi="Arial"/>
                <w:sz w:val="16"/>
                <w:szCs w:val="16"/>
                <w:color w:val="auto"/>
              </w:rPr>
              <w:t>extinguishments of debt</w:t>
            </w:r>
          </w:p>
        </w:tc>
        <w:tc>
          <w:tcPr>
            <w:tcW w:w="260" w:type="dxa"/>
            <w:vAlign w:val="bottom"/>
          </w:tcPr>
          <w:p>
            <w:pPr>
              <w:spacing w:after="0"/>
              <w:rPr>
                <w:sz w:val="11"/>
                <w:szCs w:val="11"/>
                <w:color w:val="auto"/>
              </w:rPr>
            </w:pPr>
          </w:p>
        </w:tc>
        <w:tc>
          <w:tcPr>
            <w:tcW w:w="1560" w:type="dxa"/>
            <w:vAlign w:val="bottom"/>
            <w:gridSpan w:val="2"/>
            <w:vMerge w:val="continue"/>
          </w:tcPr>
          <w:p>
            <w:pPr>
              <w:spacing w:after="0"/>
              <w:rPr>
                <w:sz w:val="11"/>
                <w:szCs w:val="11"/>
                <w:color w:val="auto"/>
              </w:rPr>
            </w:pPr>
          </w:p>
        </w:tc>
        <w:tc>
          <w:tcPr>
            <w:tcW w:w="400" w:type="dxa"/>
            <w:vAlign w:val="bottom"/>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14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408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6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4080" w:type="dxa"/>
            <w:vAlign w:val="bottom"/>
            <w:shd w:val="clear" w:color="auto" w:fill="DBDBDB"/>
          </w:tcPr>
          <w:p>
            <w:pPr>
              <w:ind w:left="240"/>
              <w:spacing w:after="0"/>
              <w:rPr>
                <w:sz w:val="20"/>
                <w:szCs w:val="20"/>
                <w:color w:val="auto"/>
              </w:rPr>
            </w:pPr>
            <w:r>
              <w:rPr>
                <w:rFonts w:ascii="Arial" w:cs="Arial" w:eastAsia="Arial" w:hAnsi="Arial"/>
                <w:sz w:val="16"/>
                <w:szCs w:val="16"/>
                <w:color w:val="auto"/>
              </w:rPr>
              <w:t>Contract amortization</w:t>
            </w:r>
          </w:p>
        </w:tc>
        <w:tc>
          <w:tcPr>
            <w:tcW w:w="260" w:type="dxa"/>
            <w:vAlign w:val="bottom"/>
            <w:shd w:val="clear" w:color="auto" w:fill="DBDBDB"/>
          </w:tcPr>
          <w:p>
            <w:pPr>
              <w:spacing w:after="0"/>
              <w:rPr>
                <w:sz w:val="18"/>
                <w:szCs w:val="18"/>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(0.17)</w:t>
            </w:r>
          </w:p>
        </w:tc>
        <w:tc>
          <w:tcPr>
            <w:tcW w:w="10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(0.19)</w:t>
            </w:r>
          </w:p>
        </w:tc>
        <w:tc>
          <w:tcPr>
            <w:tcW w:w="10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1460" w:type="dxa"/>
            <w:vAlign w:val="bottom"/>
            <w:shd w:val="clear" w:color="auto" w:fill="DBDBDB"/>
          </w:tcPr>
          <w:p>
            <w:pPr>
              <w:jc w:val="center"/>
              <w:ind w:left="879"/>
              <w:spacing w:after="0"/>
              <w:rPr>
                <w:sz w:val="20"/>
                <w:szCs w:val="20"/>
                <w:color w:val="auto"/>
              </w:rPr>
            </w:pPr>
            <w:r>
              <w:rPr>
                <w:rFonts w:ascii="Arial" w:cs="Arial" w:eastAsia="Arial" w:hAnsi="Arial"/>
                <w:sz w:val="16"/>
                <w:szCs w:val="16"/>
                <w:color w:val="auto"/>
              </w:rPr>
              <w:t>(0.58)</w:t>
            </w:r>
          </w:p>
        </w:tc>
        <w:tc>
          <w:tcPr>
            <w:tcW w:w="8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(0.71)</w:t>
            </w:r>
          </w:p>
        </w:tc>
        <w:tc>
          <w:tcPr>
            <w:tcW w:w="0" w:type="dxa"/>
            <w:vAlign w:val="bottom"/>
          </w:tcPr>
          <w:p>
            <w:pPr>
              <w:spacing w:after="0"/>
              <w:rPr>
                <w:sz w:val="1"/>
                <w:szCs w:val="1"/>
                <w:color w:val="auto"/>
              </w:rPr>
            </w:pPr>
          </w:p>
        </w:tc>
      </w:tr>
      <w:tr>
        <w:trPr>
          <w:trHeight w:val="215"/>
        </w:trPr>
        <w:tc>
          <w:tcPr>
            <w:tcW w:w="4080" w:type="dxa"/>
            <w:vAlign w:val="bottom"/>
          </w:tcPr>
          <w:p>
            <w:pPr>
              <w:ind w:left="240"/>
              <w:spacing w:after="0"/>
              <w:rPr>
                <w:sz w:val="20"/>
                <w:szCs w:val="20"/>
                <w:color w:val="auto"/>
              </w:rPr>
            </w:pPr>
            <w:r>
              <w:rPr>
                <w:rFonts w:ascii="Arial" w:cs="Arial" w:eastAsia="Arial" w:hAnsi="Arial"/>
                <w:sz w:val="16"/>
                <w:szCs w:val="16"/>
                <w:color w:val="auto"/>
              </w:rPr>
              <w:t>Other</w:t>
            </w: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(0.01)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(0.03)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jc w:val="center"/>
              <w:ind w:left="879"/>
              <w:spacing w:after="0"/>
              <w:rPr>
                <w:sz w:val="20"/>
                <w:szCs w:val="20"/>
                <w:color w:val="auto"/>
              </w:rPr>
            </w:pPr>
            <w:r>
              <w:rPr>
                <w:rFonts w:ascii="Arial" w:cs="Arial" w:eastAsia="Arial" w:hAnsi="Arial"/>
                <w:sz w:val="16"/>
                <w:szCs w:val="16"/>
                <w:color w:val="auto"/>
              </w:rPr>
              <w:t>(0.09)</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(0.08)</w:t>
            </w:r>
          </w:p>
        </w:tc>
        <w:tc>
          <w:tcPr>
            <w:tcW w:w="0" w:type="dxa"/>
            <w:vAlign w:val="bottom"/>
          </w:tcPr>
          <w:p>
            <w:pPr>
              <w:spacing w:after="0"/>
              <w:rPr>
                <w:sz w:val="1"/>
                <w:szCs w:val="1"/>
                <w:color w:val="auto"/>
              </w:rPr>
            </w:pPr>
          </w:p>
        </w:tc>
      </w:tr>
      <w:tr>
        <w:trPr>
          <w:trHeight w:val="217"/>
        </w:trPr>
        <w:tc>
          <w:tcPr>
            <w:tcW w:w="4080" w:type="dxa"/>
            <w:vAlign w:val="bottom"/>
            <w:shd w:val="clear" w:color="auto" w:fill="DBDBDB"/>
          </w:tcPr>
          <w:p>
            <w:pPr>
              <w:ind w:left="240"/>
              <w:spacing w:after="0"/>
              <w:rPr>
                <w:sz w:val="20"/>
                <w:szCs w:val="20"/>
                <w:color w:val="auto"/>
              </w:rPr>
            </w:pPr>
            <w:r>
              <w:rPr>
                <w:rFonts w:ascii="Arial" w:cs="Arial" w:eastAsia="Arial" w:hAnsi="Arial"/>
                <w:sz w:val="16"/>
                <w:szCs w:val="16"/>
                <w:color w:val="auto"/>
              </w:rPr>
              <w:t>Deferred income tax benefit</w:t>
            </w:r>
          </w:p>
        </w:tc>
        <w:tc>
          <w:tcPr>
            <w:tcW w:w="260" w:type="dxa"/>
            <w:vAlign w:val="bottom"/>
            <w:shd w:val="clear" w:color="auto" w:fill="DBDBDB"/>
          </w:tcPr>
          <w:p>
            <w:pPr>
              <w:spacing w:after="0"/>
              <w:rPr>
                <w:sz w:val="18"/>
                <w:szCs w:val="18"/>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(0.15)</w:t>
            </w:r>
          </w:p>
        </w:tc>
        <w:tc>
          <w:tcPr>
            <w:tcW w:w="10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42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DBDBDB"/>
          </w:tcPr>
          <w:p>
            <w:pPr>
              <w:spacing w:after="0"/>
              <w:rPr>
                <w:sz w:val="18"/>
                <w:szCs w:val="18"/>
                <w:color w:val="auto"/>
              </w:rPr>
            </w:pPr>
          </w:p>
        </w:tc>
        <w:tc>
          <w:tcPr>
            <w:tcW w:w="1460" w:type="dxa"/>
            <w:vAlign w:val="bottom"/>
            <w:shd w:val="clear" w:color="auto" w:fill="DBDBDB"/>
          </w:tcPr>
          <w:p>
            <w:pPr>
              <w:jc w:val="center"/>
              <w:ind w:left="879"/>
              <w:spacing w:after="0"/>
              <w:rPr>
                <w:sz w:val="20"/>
                <w:szCs w:val="20"/>
                <w:color w:val="auto"/>
              </w:rPr>
            </w:pPr>
            <w:r>
              <w:rPr>
                <w:rFonts w:ascii="Arial" w:cs="Arial" w:eastAsia="Arial" w:hAnsi="Arial"/>
                <w:sz w:val="16"/>
                <w:szCs w:val="16"/>
                <w:color w:val="auto"/>
              </w:rPr>
              <w:t>(0.15)</w:t>
            </w:r>
          </w:p>
        </w:tc>
        <w:tc>
          <w:tcPr>
            <w:tcW w:w="8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080" w:type="dxa"/>
            <w:vAlign w:val="bottom"/>
            <w:tcBorders>
              <w:bottom w:val="single" w:sz="8" w:color="DBDBDB"/>
            </w:tcBorders>
          </w:tcPr>
          <w:p>
            <w:pPr>
              <w:ind w:left="240"/>
              <w:spacing w:after="0" w:line="216" w:lineRule="exact"/>
              <w:rPr>
                <w:sz w:val="20"/>
                <w:szCs w:val="20"/>
                <w:color w:val="auto"/>
              </w:rPr>
            </w:pPr>
            <w:r>
              <w:rPr>
                <w:rFonts w:ascii="Arial" w:cs="Arial" w:eastAsia="Arial" w:hAnsi="Arial"/>
                <w:sz w:val="16"/>
                <w:szCs w:val="16"/>
                <w:color w:val="auto"/>
              </w:rPr>
              <w:t>Tax effect of adjustments</w:t>
            </w:r>
            <w:r>
              <w:rPr>
                <w:rFonts w:ascii="Arial" w:cs="Arial" w:eastAsia="Arial" w:hAnsi="Arial"/>
                <w:sz w:val="21"/>
                <w:szCs w:val="21"/>
                <w:color w:val="auto"/>
                <w:vertAlign w:val="superscript"/>
              </w:rPr>
              <w:t>(a)</w:t>
            </w:r>
          </w:p>
        </w:tc>
        <w:tc>
          <w:tcPr>
            <w:tcW w:w="2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0.17</w:t>
            </w:r>
          </w:p>
        </w:tc>
        <w:tc>
          <w:tcPr>
            <w:tcW w:w="100" w:type="dxa"/>
            <w:vAlign w:val="bottom"/>
            <w:tcBorders>
              <w:bottom w:val="single" w:sz="8" w:color="DBDBDB"/>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0.36</w:t>
            </w:r>
          </w:p>
        </w:tc>
        <w:tc>
          <w:tcPr>
            <w:tcW w:w="100" w:type="dxa"/>
            <w:vAlign w:val="bottom"/>
            <w:tcBorders>
              <w:bottom w:val="single" w:sz="8" w:color="DBDBDB"/>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center"/>
              <w:ind w:left="899"/>
              <w:spacing w:after="0"/>
              <w:rPr>
                <w:sz w:val="20"/>
                <w:szCs w:val="20"/>
                <w:color w:val="auto"/>
              </w:rPr>
            </w:pPr>
            <w:r>
              <w:rPr>
                <w:rFonts w:ascii="Arial" w:cs="Arial" w:eastAsia="Arial" w:hAnsi="Arial"/>
                <w:sz w:val="16"/>
                <w:szCs w:val="16"/>
                <w:color w:val="auto"/>
              </w:rPr>
              <w:t>0.68</w:t>
            </w:r>
          </w:p>
        </w:tc>
        <w:tc>
          <w:tcPr>
            <w:tcW w:w="80" w:type="dxa"/>
            <w:vAlign w:val="bottom"/>
            <w:tcBorders>
              <w:bottom w:val="single" w:sz="8" w:color="DBDBDB"/>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0.32</w:t>
            </w:r>
          </w:p>
        </w:tc>
        <w:tc>
          <w:tcPr>
            <w:tcW w:w="0" w:type="dxa"/>
            <w:vAlign w:val="bottom"/>
          </w:tcPr>
          <w:p>
            <w:pPr>
              <w:spacing w:after="0"/>
              <w:rPr>
                <w:sz w:val="1"/>
                <w:szCs w:val="1"/>
                <w:color w:val="auto"/>
              </w:rPr>
            </w:pPr>
          </w:p>
        </w:tc>
      </w:tr>
      <w:tr>
        <w:trPr>
          <w:trHeight w:val="142"/>
        </w:trPr>
        <w:tc>
          <w:tcPr>
            <w:tcW w:w="4080" w:type="dxa"/>
            <w:vAlign w:val="bottom"/>
            <w:shd w:val="clear" w:color="auto" w:fill="DBDBDB"/>
          </w:tcPr>
          <w:p>
            <w:pPr>
              <w:ind w:left="20"/>
              <w:spacing w:after="0" w:line="142" w:lineRule="exact"/>
              <w:rPr>
                <w:sz w:val="20"/>
                <w:szCs w:val="20"/>
                <w:color w:val="auto"/>
              </w:rPr>
            </w:pPr>
            <w:r>
              <w:rPr>
                <w:rFonts w:ascii="Arial" w:cs="Arial" w:eastAsia="Arial" w:hAnsi="Arial"/>
                <w:sz w:val="16"/>
                <w:szCs w:val="16"/>
                <w:b w:val="1"/>
                <w:bCs w:val="1"/>
                <w:color w:val="auto"/>
              </w:rPr>
              <w:t>Adjusted diluted earnings per common share</w:t>
            </w:r>
          </w:p>
        </w:tc>
        <w:tc>
          <w:tcPr>
            <w:tcW w:w="260" w:type="dxa"/>
            <w:vAlign w:val="bottom"/>
            <w:vMerge w:val="restart"/>
            <w:shd w:val="clear" w:color="auto" w:fill="DBDBDB"/>
          </w:tcPr>
          <w:p>
            <w:pPr>
              <w:jc w:val="right"/>
              <w:ind w:right="59"/>
              <w:spacing w:after="0"/>
              <w:rPr>
                <w:sz w:val="20"/>
                <w:szCs w:val="20"/>
                <w:color w:val="auto"/>
              </w:rPr>
            </w:pPr>
            <w:r>
              <w:rPr>
                <w:rFonts w:ascii="Arial" w:cs="Arial" w:eastAsia="Arial" w:hAnsi="Arial"/>
                <w:sz w:val="16"/>
                <w:szCs w:val="16"/>
                <w:color w:val="auto"/>
              </w:rPr>
              <w:t>$</w:t>
            </w:r>
          </w:p>
        </w:tc>
        <w:tc>
          <w:tcPr>
            <w:tcW w:w="146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rPr>
              <w:t>1.46</w:t>
            </w:r>
          </w:p>
        </w:tc>
        <w:tc>
          <w:tcPr>
            <w:tcW w:w="100" w:type="dxa"/>
            <w:vAlign w:val="bottom"/>
            <w:shd w:val="clear" w:color="auto" w:fill="DBDBDB"/>
          </w:tcPr>
          <w:p>
            <w:pPr>
              <w:spacing w:after="0"/>
              <w:rPr>
                <w:sz w:val="12"/>
                <w:szCs w:val="12"/>
                <w:color w:val="auto"/>
              </w:rPr>
            </w:pPr>
          </w:p>
        </w:tc>
        <w:tc>
          <w:tcPr>
            <w:tcW w:w="400" w:type="dxa"/>
            <w:vAlign w:val="bottom"/>
            <w:vMerge w:val="restart"/>
            <w:shd w:val="clear" w:color="auto" w:fill="DBDBDB"/>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rPr>
              <w:t>0.97</w:t>
            </w:r>
          </w:p>
        </w:tc>
        <w:tc>
          <w:tcPr>
            <w:tcW w:w="100" w:type="dxa"/>
            <w:vAlign w:val="bottom"/>
            <w:shd w:val="clear" w:color="auto" w:fill="DBDBDB"/>
          </w:tcPr>
          <w:p>
            <w:pPr>
              <w:spacing w:after="0"/>
              <w:rPr>
                <w:sz w:val="12"/>
                <w:szCs w:val="12"/>
                <w:color w:val="auto"/>
              </w:rPr>
            </w:pPr>
          </w:p>
        </w:tc>
        <w:tc>
          <w:tcPr>
            <w:tcW w:w="260" w:type="dxa"/>
            <w:vAlign w:val="bottom"/>
            <w:vMerge w:val="restart"/>
            <w:shd w:val="clear" w:color="auto" w:fill="DBDBDB"/>
          </w:tcPr>
          <w:p>
            <w:pPr>
              <w:jc w:val="right"/>
              <w:ind w:right="79"/>
              <w:spacing w:after="0"/>
              <w:rPr>
                <w:sz w:val="20"/>
                <w:szCs w:val="20"/>
                <w:color w:val="auto"/>
              </w:rPr>
            </w:pPr>
            <w:r>
              <w:rPr>
                <w:rFonts w:ascii="Arial" w:cs="Arial" w:eastAsia="Arial" w:hAnsi="Arial"/>
                <w:sz w:val="16"/>
                <w:szCs w:val="16"/>
                <w:color w:val="auto"/>
                <w:w w:val="89"/>
              </w:rPr>
              <w:t>$</w:t>
            </w:r>
          </w:p>
        </w:tc>
        <w:tc>
          <w:tcPr>
            <w:tcW w:w="1460" w:type="dxa"/>
            <w:vAlign w:val="bottom"/>
            <w:vMerge w:val="restart"/>
            <w:shd w:val="clear" w:color="auto" w:fill="DBDBDB"/>
          </w:tcPr>
          <w:p>
            <w:pPr>
              <w:jc w:val="center"/>
              <w:ind w:left="899"/>
              <w:spacing w:after="0"/>
              <w:rPr>
                <w:sz w:val="20"/>
                <w:szCs w:val="20"/>
                <w:color w:val="auto"/>
              </w:rPr>
            </w:pPr>
            <w:r>
              <w:rPr>
                <w:rFonts w:ascii="Arial" w:cs="Arial" w:eastAsia="Arial" w:hAnsi="Arial"/>
                <w:sz w:val="16"/>
                <w:szCs w:val="16"/>
                <w:color w:val="auto"/>
              </w:rPr>
              <w:t>6.66</w:t>
            </w:r>
          </w:p>
        </w:tc>
        <w:tc>
          <w:tcPr>
            <w:tcW w:w="80" w:type="dxa"/>
            <w:vAlign w:val="bottom"/>
            <w:shd w:val="clear" w:color="auto" w:fill="DBDBDB"/>
          </w:tcPr>
          <w:p>
            <w:pPr>
              <w:spacing w:after="0"/>
              <w:rPr>
                <w:sz w:val="12"/>
                <w:szCs w:val="12"/>
                <w:color w:val="auto"/>
              </w:rPr>
            </w:pPr>
          </w:p>
        </w:tc>
        <w:tc>
          <w:tcPr>
            <w:tcW w:w="400" w:type="dxa"/>
            <w:vAlign w:val="bottom"/>
            <w:vMerge w:val="restart"/>
            <w:shd w:val="clear" w:color="auto" w:fill="DBDBDB"/>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rPr>
              <w:t>4.10</w:t>
            </w:r>
          </w:p>
        </w:tc>
        <w:tc>
          <w:tcPr>
            <w:tcW w:w="0" w:type="dxa"/>
            <w:vAlign w:val="bottom"/>
          </w:tcPr>
          <w:p>
            <w:pPr>
              <w:spacing w:after="0"/>
              <w:rPr>
                <w:sz w:val="1"/>
                <w:szCs w:val="1"/>
                <w:color w:val="auto"/>
              </w:rPr>
            </w:pPr>
          </w:p>
        </w:tc>
      </w:tr>
      <w:tr>
        <w:trPr>
          <w:trHeight w:val="120"/>
        </w:trPr>
        <w:tc>
          <w:tcPr>
            <w:tcW w:w="4080" w:type="dxa"/>
            <w:vAlign w:val="bottom"/>
            <w:vMerge w:val="restart"/>
            <w:shd w:val="clear" w:color="auto" w:fill="DBDBDB"/>
          </w:tcPr>
          <w:p>
            <w:pPr>
              <w:ind w:left="20"/>
              <w:spacing w:after="0"/>
              <w:rPr>
                <w:sz w:val="20"/>
                <w:szCs w:val="20"/>
                <w:color w:val="auto"/>
              </w:rPr>
            </w:pPr>
            <w:r>
              <w:rPr>
                <w:rFonts w:ascii="Arial" w:cs="Arial" w:eastAsia="Arial" w:hAnsi="Arial"/>
                <w:sz w:val="16"/>
                <w:szCs w:val="16"/>
                <w:b w:val="1"/>
                <w:bCs w:val="1"/>
                <w:color w:val="auto"/>
              </w:rPr>
              <w:t>(Non-GAAP)</w:t>
            </w:r>
          </w:p>
        </w:tc>
        <w:tc>
          <w:tcPr>
            <w:tcW w:w="260" w:type="dxa"/>
            <w:vAlign w:val="bottom"/>
            <w:vMerge w:val="continue"/>
            <w:shd w:val="clear" w:color="auto" w:fill="DBDBDB"/>
          </w:tcPr>
          <w:p>
            <w:pPr>
              <w:spacing w:after="0"/>
              <w:rPr>
                <w:sz w:val="10"/>
                <w:szCs w:val="10"/>
                <w:color w:val="auto"/>
              </w:rPr>
            </w:pPr>
          </w:p>
        </w:tc>
        <w:tc>
          <w:tcPr>
            <w:tcW w:w="1460" w:type="dxa"/>
            <w:vAlign w:val="bottom"/>
            <w:vMerge w:val="continue"/>
            <w:shd w:val="clear" w:color="auto" w:fill="DBDBDB"/>
          </w:tcPr>
          <w:p>
            <w:pPr>
              <w:spacing w:after="0"/>
              <w:rPr>
                <w:sz w:val="10"/>
                <w:szCs w:val="10"/>
                <w:color w:val="auto"/>
              </w:rPr>
            </w:pPr>
          </w:p>
        </w:tc>
        <w:tc>
          <w:tcPr>
            <w:tcW w:w="100" w:type="dxa"/>
            <w:vAlign w:val="bottom"/>
            <w:shd w:val="clear" w:color="auto" w:fill="DBDBDB"/>
          </w:tcPr>
          <w:p>
            <w:pPr>
              <w:spacing w:after="0"/>
              <w:rPr>
                <w:sz w:val="10"/>
                <w:szCs w:val="10"/>
                <w:color w:val="auto"/>
              </w:rPr>
            </w:pPr>
          </w:p>
        </w:tc>
        <w:tc>
          <w:tcPr>
            <w:tcW w:w="400" w:type="dxa"/>
            <w:vAlign w:val="bottom"/>
            <w:vMerge w:val="continue"/>
            <w:shd w:val="clear" w:color="auto" w:fill="DBDBDB"/>
          </w:tcPr>
          <w:p>
            <w:pPr>
              <w:spacing w:after="0"/>
              <w:rPr>
                <w:sz w:val="10"/>
                <w:szCs w:val="10"/>
                <w:color w:val="auto"/>
              </w:rPr>
            </w:pPr>
          </w:p>
        </w:tc>
        <w:tc>
          <w:tcPr>
            <w:tcW w:w="1320" w:type="dxa"/>
            <w:vAlign w:val="bottom"/>
            <w:vMerge w:val="continue"/>
            <w:shd w:val="clear" w:color="auto" w:fill="DBDBDB"/>
          </w:tcPr>
          <w:p>
            <w:pPr>
              <w:spacing w:after="0"/>
              <w:rPr>
                <w:sz w:val="10"/>
                <w:szCs w:val="10"/>
                <w:color w:val="auto"/>
              </w:rPr>
            </w:pPr>
          </w:p>
        </w:tc>
        <w:tc>
          <w:tcPr>
            <w:tcW w:w="100" w:type="dxa"/>
            <w:vAlign w:val="bottom"/>
            <w:shd w:val="clear" w:color="auto" w:fill="DBDBDB"/>
          </w:tcPr>
          <w:p>
            <w:pPr>
              <w:spacing w:after="0"/>
              <w:rPr>
                <w:sz w:val="10"/>
                <w:szCs w:val="10"/>
                <w:color w:val="auto"/>
              </w:rPr>
            </w:pPr>
          </w:p>
        </w:tc>
        <w:tc>
          <w:tcPr>
            <w:tcW w:w="260" w:type="dxa"/>
            <w:vAlign w:val="bottom"/>
            <w:vMerge w:val="continue"/>
            <w:shd w:val="clear" w:color="auto" w:fill="DBDBDB"/>
          </w:tcPr>
          <w:p>
            <w:pPr>
              <w:spacing w:after="0"/>
              <w:rPr>
                <w:sz w:val="10"/>
                <w:szCs w:val="10"/>
                <w:color w:val="auto"/>
              </w:rPr>
            </w:pPr>
          </w:p>
        </w:tc>
        <w:tc>
          <w:tcPr>
            <w:tcW w:w="1460" w:type="dxa"/>
            <w:vAlign w:val="bottom"/>
            <w:vMerge w:val="continue"/>
            <w:shd w:val="clear" w:color="auto" w:fill="DBDBDB"/>
          </w:tcPr>
          <w:p>
            <w:pPr>
              <w:spacing w:after="0"/>
              <w:rPr>
                <w:sz w:val="10"/>
                <w:szCs w:val="10"/>
                <w:color w:val="auto"/>
              </w:rPr>
            </w:pPr>
          </w:p>
        </w:tc>
        <w:tc>
          <w:tcPr>
            <w:tcW w:w="80" w:type="dxa"/>
            <w:vAlign w:val="bottom"/>
            <w:shd w:val="clear" w:color="auto" w:fill="DBDBDB"/>
          </w:tcPr>
          <w:p>
            <w:pPr>
              <w:spacing w:after="0"/>
              <w:rPr>
                <w:sz w:val="10"/>
                <w:szCs w:val="10"/>
                <w:color w:val="auto"/>
              </w:rPr>
            </w:pPr>
          </w:p>
        </w:tc>
        <w:tc>
          <w:tcPr>
            <w:tcW w:w="400" w:type="dxa"/>
            <w:vAlign w:val="bottom"/>
            <w:vMerge w:val="continue"/>
            <w:shd w:val="clear" w:color="auto" w:fill="DBDBDB"/>
          </w:tcPr>
          <w:p>
            <w:pPr>
              <w:spacing w:after="0"/>
              <w:rPr>
                <w:sz w:val="10"/>
                <w:szCs w:val="10"/>
                <w:color w:val="auto"/>
              </w:rPr>
            </w:pPr>
          </w:p>
        </w:tc>
        <w:tc>
          <w:tcPr>
            <w:tcW w:w="1320" w:type="dxa"/>
            <w:vAlign w:val="bottom"/>
            <w:vMerge w:val="continue"/>
            <w:shd w:val="clear" w:color="auto" w:fill="DBDBDB"/>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4080" w:type="dxa"/>
            <w:vAlign w:val="bottom"/>
            <w:tcBorders>
              <w:bottom w:val="single" w:sz="8" w:color="DBDBDB"/>
            </w:tcBorders>
            <w:vMerge w:val="continue"/>
            <w:shd w:val="clear" w:color="auto" w:fill="DBDBDB"/>
          </w:tcPr>
          <w:p>
            <w:pPr>
              <w:spacing w:after="0"/>
              <w:rPr>
                <w:sz w:val="7"/>
                <w:szCs w:val="7"/>
                <w:color w:val="auto"/>
              </w:rPr>
            </w:pPr>
          </w:p>
        </w:tc>
        <w:tc>
          <w:tcPr>
            <w:tcW w:w="260" w:type="dxa"/>
            <w:vAlign w:val="bottom"/>
            <w:tcBorders>
              <w:bottom w:val="single" w:sz="8" w:color="auto"/>
            </w:tcBorders>
            <w:shd w:val="clear" w:color="auto" w:fill="DBDBDB"/>
          </w:tcPr>
          <w:p>
            <w:pPr>
              <w:spacing w:after="0"/>
              <w:rPr>
                <w:sz w:val="7"/>
                <w:szCs w:val="7"/>
                <w:color w:val="auto"/>
              </w:rPr>
            </w:pPr>
          </w:p>
        </w:tc>
        <w:tc>
          <w:tcPr>
            <w:tcW w:w="1460" w:type="dxa"/>
            <w:vAlign w:val="bottom"/>
            <w:tcBorders>
              <w:bottom w:val="single" w:sz="8" w:color="auto"/>
            </w:tcBorders>
            <w:shd w:val="clear" w:color="auto" w:fill="DBDBDB"/>
          </w:tcPr>
          <w:p>
            <w:pPr>
              <w:spacing w:after="0"/>
              <w:rPr>
                <w:sz w:val="7"/>
                <w:szCs w:val="7"/>
                <w:color w:val="auto"/>
              </w:rPr>
            </w:pPr>
          </w:p>
        </w:tc>
        <w:tc>
          <w:tcPr>
            <w:tcW w:w="100" w:type="dxa"/>
            <w:vAlign w:val="bottom"/>
            <w:tcBorders>
              <w:bottom w:val="single" w:sz="8" w:color="DBDBDB"/>
            </w:tcBorders>
            <w:shd w:val="clear" w:color="auto" w:fill="DBDBDB"/>
          </w:tcPr>
          <w:p>
            <w:pPr>
              <w:spacing w:after="0"/>
              <w:rPr>
                <w:sz w:val="7"/>
                <w:szCs w:val="7"/>
                <w:color w:val="auto"/>
              </w:rPr>
            </w:pPr>
          </w:p>
        </w:tc>
        <w:tc>
          <w:tcPr>
            <w:tcW w:w="400" w:type="dxa"/>
            <w:vAlign w:val="bottom"/>
            <w:tcBorders>
              <w:bottom w:val="single" w:sz="8" w:color="auto"/>
            </w:tcBorders>
            <w:shd w:val="clear" w:color="auto" w:fill="DBDBDB"/>
          </w:tcPr>
          <w:p>
            <w:pPr>
              <w:spacing w:after="0"/>
              <w:rPr>
                <w:sz w:val="7"/>
                <w:szCs w:val="7"/>
                <w:color w:val="auto"/>
              </w:rPr>
            </w:pPr>
          </w:p>
        </w:tc>
        <w:tc>
          <w:tcPr>
            <w:tcW w:w="1320" w:type="dxa"/>
            <w:vAlign w:val="bottom"/>
            <w:tcBorders>
              <w:bottom w:val="single" w:sz="8" w:color="auto"/>
            </w:tcBorders>
            <w:shd w:val="clear" w:color="auto" w:fill="DBDBDB"/>
          </w:tcPr>
          <w:p>
            <w:pPr>
              <w:spacing w:after="0"/>
              <w:rPr>
                <w:sz w:val="7"/>
                <w:szCs w:val="7"/>
                <w:color w:val="auto"/>
              </w:rPr>
            </w:pPr>
          </w:p>
        </w:tc>
        <w:tc>
          <w:tcPr>
            <w:tcW w:w="100" w:type="dxa"/>
            <w:vAlign w:val="bottom"/>
            <w:tcBorders>
              <w:bottom w:val="single" w:sz="8" w:color="DBDBDB"/>
            </w:tcBorders>
            <w:shd w:val="clear" w:color="auto" w:fill="DBDBDB"/>
          </w:tcPr>
          <w:p>
            <w:pPr>
              <w:spacing w:after="0"/>
              <w:rPr>
                <w:sz w:val="7"/>
                <w:szCs w:val="7"/>
                <w:color w:val="auto"/>
              </w:rPr>
            </w:pPr>
          </w:p>
        </w:tc>
        <w:tc>
          <w:tcPr>
            <w:tcW w:w="260" w:type="dxa"/>
            <w:vAlign w:val="bottom"/>
            <w:tcBorders>
              <w:bottom w:val="single" w:sz="8" w:color="auto"/>
            </w:tcBorders>
            <w:shd w:val="clear" w:color="auto" w:fill="DBDBDB"/>
          </w:tcPr>
          <w:p>
            <w:pPr>
              <w:spacing w:after="0"/>
              <w:rPr>
                <w:sz w:val="7"/>
                <w:szCs w:val="7"/>
                <w:color w:val="auto"/>
              </w:rPr>
            </w:pPr>
          </w:p>
        </w:tc>
        <w:tc>
          <w:tcPr>
            <w:tcW w:w="1460" w:type="dxa"/>
            <w:vAlign w:val="bottom"/>
            <w:tcBorders>
              <w:bottom w:val="single" w:sz="8" w:color="auto"/>
            </w:tcBorders>
            <w:shd w:val="clear" w:color="auto" w:fill="DBDBDB"/>
          </w:tcPr>
          <w:p>
            <w:pPr>
              <w:spacing w:after="0"/>
              <w:rPr>
                <w:sz w:val="7"/>
                <w:szCs w:val="7"/>
                <w:color w:val="auto"/>
              </w:rPr>
            </w:pPr>
          </w:p>
        </w:tc>
        <w:tc>
          <w:tcPr>
            <w:tcW w:w="80" w:type="dxa"/>
            <w:vAlign w:val="bottom"/>
            <w:tcBorders>
              <w:bottom w:val="single" w:sz="8" w:color="DBDBDB"/>
            </w:tcBorders>
            <w:shd w:val="clear" w:color="auto" w:fill="DBDBDB"/>
          </w:tcPr>
          <w:p>
            <w:pPr>
              <w:spacing w:after="0"/>
              <w:rPr>
                <w:sz w:val="7"/>
                <w:szCs w:val="7"/>
                <w:color w:val="auto"/>
              </w:rPr>
            </w:pPr>
          </w:p>
        </w:tc>
        <w:tc>
          <w:tcPr>
            <w:tcW w:w="400" w:type="dxa"/>
            <w:vAlign w:val="bottom"/>
            <w:tcBorders>
              <w:bottom w:val="single" w:sz="8" w:color="auto"/>
            </w:tcBorders>
            <w:shd w:val="clear" w:color="auto" w:fill="DBDBDB"/>
          </w:tcPr>
          <w:p>
            <w:pPr>
              <w:spacing w:after="0"/>
              <w:rPr>
                <w:sz w:val="7"/>
                <w:szCs w:val="7"/>
                <w:color w:val="auto"/>
              </w:rPr>
            </w:pPr>
          </w:p>
        </w:tc>
        <w:tc>
          <w:tcPr>
            <w:tcW w:w="1320" w:type="dxa"/>
            <w:vAlign w:val="bottom"/>
            <w:tcBorders>
              <w:bottom w:val="single" w:sz="8" w:color="auto"/>
            </w:tcBorders>
            <w:shd w:val="clear" w:color="auto" w:fill="DBDBDB"/>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08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14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13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146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132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380" w:right="20" w:hanging="354"/>
        <w:spacing w:after="0" w:line="182" w:lineRule="auto"/>
        <w:tabs>
          <w:tab w:leader="none" w:pos="380" w:val="left"/>
        </w:tabs>
        <w:numPr>
          <w:ilvl w:val="0"/>
          <w:numId w:val="7"/>
        </w:numPr>
        <w:rPr>
          <w:rFonts w:ascii="Arial" w:cs="Arial" w:eastAsia="Arial" w:hAnsi="Arial"/>
          <w:sz w:val="28"/>
          <w:szCs w:val="28"/>
          <w:color w:val="auto"/>
          <w:vertAlign w:val="superscript"/>
        </w:rPr>
      </w:pPr>
      <w:r>
        <w:rPr>
          <w:rFonts w:ascii="Arial" w:cs="Arial" w:eastAsia="Arial" w:hAnsi="Arial"/>
          <w:sz w:val="15"/>
          <w:szCs w:val="15"/>
          <w:color w:val="auto"/>
        </w:rPr>
        <w:t>The three- and nine-month periods ended September 30, 2026 and September 30, 2025 include a tax effect attributed to the reconciling adjustments using a statutory rate of 22%.</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240"/>
          </w:cols>
          <w:pgMar w:left="320" w:top="1440" w:right="339" w:bottom="1440" w:gutter="0" w:footer="0" w:header="0"/>
          <w:type w:val="continuous"/>
        </w:sectPr>
      </w:pPr>
    </w:p>
    <w:bookmarkStart w:id="15" w:name="page16"/>
    <w:bookmarkEnd w:id="15"/>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386C"/>
        </w:rPr>
        <w:t>RECONCILIATION OF NET INCOME TO ADJUSTED EBITDAX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44316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431665" cy="8890"/>
                    </a:xfrm>
                    <a:prstGeom prst="rect">
                      <a:avLst/>
                    </a:prstGeom>
                    <a:noFill/>
                  </pic:spPr>
                </pic:pic>
              </a:graphicData>
            </a:graphic>
          </wp:anchor>
        </w:drawing>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4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gridSpan w:val="4"/>
          </w:tcPr>
          <w:p>
            <w:pPr>
              <w:jc w:val="right"/>
              <w:ind w:right="219"/>
              <w:spacing w:after="0"/>
              <w:rPr>
                <w:sz w:val="20"/>
                <w:szCs w:val="20"/>
                <w:color w:val="auto"/>
              </w:rPr>
            </w:pPr>
            <w:r>
              <w:rPr>
                <w:rFonts w:ascii="Arial" w:cs="Arial" w:eastAsia="Arial" w:hAnsi="Arial"/>
                <w:sz w:val="16"/>
                <w:szCs w:val="16"/>
                <w:b w:val="1"/>
                <w:bCs w:val="1"/>
                <w:color w:val="auto"/>
              </w:rPr>
              <w:t>Three Months Ended September 30,</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gridSpan w:val="4"/>
          </w:tcPr>
          <w:p>
            <w:pPr>
              <w:jc w:val="right"/>
              <w:ind w:right="259"/>
              <w:spacing w:after="0"/>
              <w:rPr>
                <w:sz w:val="20"/>
                <w:szCs w:val="20"/>
                <w:color w:val="auto"/>
              </w:rPr>
            </w:pPr>
            <w:r>
              <w:rPr>
                <w:rFonts w:ascii="Arial" w:cs="Arial" w:eastAsia="Arial" w:hAnsi="Arial"/>
                <w:sz w:val="16"/>
                <w:szCs w:val="16"/>
                <w:b w:val="1"/>
                <w:bCs w:val="1"/>
                <w:color w:val="auto"/>
              </w:rPr>
              <w:t>Nine Months Ended September 30,</w:t>
            </w:r>
          </w:p>
        </w:tc>
        <w:tc>
          <w:tcPr>
            <w:tcW w:w="0" w:type="dxa"/>
            <w:vAlign w:val="bottom"/>
          </w:tcPr>
          <w:p>
            <w:pPr>
              <w:spacing w:after="0"/>
              <w:rPr>
                <w:sz w:val="1"/>
                <w:szCs w:val="1"/>
                <w:color w:val="auto"/>
              </w:rPr>
            </w:pPr>
          </w:p>
        </w:tc>
      </w:tr>
      <w:tr>
        <w:trPr>
          <w:trHeight w:val="209"/>
        </w:trPr>
        <w:tc>
          <w:tcPr>
            <w:tcW w:w="4480" w:type="dxa"/>
            <w:vAlign w:val="bottom"/>
            <w:tcBorders>
              <w:bottom w:val="single" w:sz="8" w:color="D9D9D9"/>
            </w:tcBorders>
          </w:tcPr>
          <w:p>
            <w:pPr>
              <w:ind w:left="20"/>
              <w:spacing w:after="0"/>
              <w:rPr>
                <w:sz w:val="20"/>
                <w:szCs w:val="20"/>
                <w:color w:val="auto"/>
              </w:rPr>
            </w:pPr>
            <w:r>
              <w:rPr>
                <w:rFonts w:ascii="Arial" w:cs="Arial" w:eastAsia="Arial" w:hAnsi="Arial"/>
                <w:sz w:val="16"/>
                <w:szCs w:val="16"/>
                <w:i w:val="1"/>
                <w:iCs w:val="1"/>
                <w:color w:val="auto"/>
              </w:rPr>
              <w:t>($ in millions)</w:t>
            </w: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bottom w:val="single" w:sz="8" w:color="D9D9D9"/>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bottom w:val="single" w:sz="8" w:color="DBDBDB"/>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bottom w:val="single" w:sz="8" w:color="D9D9D9"/>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210"/>
        </w:trPr>
        <w:tc>
          <w:tcPr>
            <w:tcW w:w="4480" w:type="dxa"/>
            <w:vAlign w:val="bottom"/>
            <w:shd w:val="clear" w:color="auto" w:fill="D9D9D9"/>
          </w:tcPr>
          <w:p>
            <w:pPr>
              <w:ind w:left="20"/>
              <w:spacing w:after="0"/>
              <w:rPr>
                <w:sz w:val="20"/>
                <w:szCs w:val="20"/>
                <w:color w:val="auto"/>
              </w:rPr>
            </w:pPr>
            <w:r>
              <w:rPr>
                <w:rFonts w:ascii="Arial" w:cs="Arial" w:eastAsia="Arial" w:hAnsi="Arial"/>
                <w:sz w:val="16"/>
                <w:szCs w:val="16"/>
                <w:b w:val="1"/>
                <w:bCs w:val="1"/>
                <w:color w:val="auto"/>
              </w:rPr>
              <w:t>Net income (GAAP)</w:t>
            </w:r>
          </w:p>
        </w:tc>
        <w:tc>
          <w:tcPr>
            <w:tcW w:w="200" w:type="dxa"/>
            <w:vAlign w:val="bottom"/>
            <w:shd w:val="clear" w:color="auto" w:fill="D9D9D9"/>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D9D9D9"/>
          </w:tcPr>
          <w:p>
            <w:pPr>
              <w:jc w:val="right"/>
              <w:spacing w:after="0"/>
              <w:rPr>
                <w:sz w:val="20"/>
                <w:szCs w:val="20"/>
                <w:color w:val="auto"/>
              </w:rPr>
            </w:pPr>
            <w:r>
              <w:rPr>
                <w:rFonts w:ascii="Arial" w:cs="Arial" w:eastAsia="Arial" w:hAnsi="Arial"/>
                <w:sz w:val="16"/>
                <w:szCs w:val="16"/>
                <w:color w:val="auto"/>
              </w:rPr>
              <w:t>519</w:t>
            </w:r>
          </w:p>
        </w:tc>
        <w:tc>
          <w:tcPr>
            <w:tcW w:w="100" w:type="dxa"/>
            <w:vAlign w:val="bottom"/>
            <w:shd w:val="clear" w:color="auto" w:fill="D9D9D9"/>
          </w:tcPr>
          <w:p>
            <w:pPr>
              <w:spacing w:after="0"/>
              <w:rPr>
                <w:sz w:val="18"/>
                <w:szCs w:val="18"/>
                <w:color w:val="auto"/>
              </w:rPr>
            </w:pPr>
          </w:p>
        </w:tc>
        <w:tc>
          <w:tcPr>
            <w:tcW w:w="380" w:type="dxa"/>
            <w:vAlign w:val="bottom"/>
            <w:shd w:val="clear" w:color="auto" w:fill="D9D9D9"/>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shd w:val="clear" w:color="auto" w:fill="D9D9D9"/>
          </w:tcPr>
          <w:p>
            <w:pPr>
              <w:jc w:val="right"/>
              <w:spacing w:after="0"/>
              <w:rPr>
                <w:sz w:val="20"/>
                <w:szCs w:val="20"/>
                <w:color w:val="auto"/>
              </w:rPr>
            </w:pPr>
            <w:r>
              <w:rPr>
                <w:rFonts w:ascii="Arial" w:cs="Arial" w:eastAsia="Arial" w:hAnsi="Arial"/>
                <w:sz w:val="16"/>
                <w:szCs w:val="16"/>
                <w:color w:val="auto"/>
              </w:rPr>
              <w:t>547</w:t>
            </w:r>
          </w:p>
        </w:tc>
        <w:tc>
          <w:tcPr>
            <w:tcW w:w="80" w:type="dxa"/>
            <w:vAlign w:val="bottom"/>
            <w:shd w:val="clear" w:color="auto" w:fill="DBDBDB"/>
          </w:tcPr>
          <w:p>
            <w:pPr>
              <w:spacing w:after="0"/>
              <w:rPr>
                <w:sz w:val="18"/>
                <w:szCs w:val="18"/>
                <w:color w:val="auto"/>
              </w:rPr>
            </w:pPr>
          </w:p>
        </w:tc>
        <w:tc>
          <w:tcPr>
            <w:tcW w:w="220" w:type="dxa"/>
            <w:vAlign w:val="bottom"/>
            <w:shd w:val="clear" w:color="auto" w:fill="D9D9D9"/>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shd w:val="clear" w:color="auto" w:fill="D9D9D9"/>
          </w:tcPr>
          <w:p>
            <w:pPr>
              <w:jc w:val="right"/>
              <w:spacing w:after="0"/>
              <w:rPr>
                <w:sz w:val="20"/>
                <w:szCs w:val="20"/>
                <w:color w:val="auto"/>
              </w:rPr>
            </w:pPr>
            <w:r>
              <w:rPr>
                <w:rFonts w:ascii="Arial" w:cs="Arial" w:eastAsia="Arial" w:hAnsi="Arial"/>
                <w:sz w:val="16"/>
                <w:szCs w:val="16"/>
                <w:color w:val="auto"/>
              </w:rPr>
              <w:t>2,200</w:t>
            </w:r>
          </w:p>
        </w:tc>
        <w:tc>
          <w:tcPr>
            <w:tcW w:w="100" w:type="dxa"/>
            <w:vAlign w:val="bottom"/>
            <w:shd w:val="clear" w:color="auto" w:fill="D9D9D9"/>
          </w:tcPr>
          <w:p>
            <w:pPr>
              <w:spacing w:after="0"/>
              <w:rPr>
                <w:sz w:val="18"/>
                <w:szCs w:val="18"/>
                <w:color w:val="auto"/>
              </w:rPr>
            </w:pPr>
          </w:p>
        </w:tc>
        <w:tc>
          <w:tcPr>
            <w:tcW w:w="360" w:type="dxa"/>
            <w:vAlign w:val="bottom"/>
            <w:shd w:val="clear" w:color="auto" w:fill="D9D9D9"/>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D9D9D9"/>
          </w:tcPr>
          <w:p>
            <w:pPr>
              <w:jc w:val="right"/>
              <w:spacing w:after="0"/>
              <w:rPr>
                <w:sz w:val="20"/>
                <w:szCs w:val="20"/>
                <w:color w:val="auto"/>
              </w:rPr>
            </w:pPr>
            <w:r>
              <w:rPr>
                <w:rFonts w:ascii="Arial" w:cs="Arial" w:eastAsia="Arial" w:hAnsi="Arial"/>
                <w:sz w:val="16"/>
                <w:szCs w:val="16"/>
                <w:color w:val="auto"/>
              </w:rPr>
              <w:t>1,266</w:t>
            </w:r>
          </w:p>
        </w:tc>
        <w:tc>
          <w:tcPr>
            <w:tcW w:w="0" w:type="dxa"/>
            <w:vAlign w:val="bottom"/>
          </w:tcPr>
          <w:p>
            <w:pPr>
              <w:spacing w:after="0"/>
              <w:rPr>
                <w:sz w:val="1"/>
                <w:szCs w:val="1"/>
                <w:color w:val="auto"/>
              </w:rPr>
            </w:pPr>
          </w:p>
        </w:tc>
      </w:tr>
      <w:tr>
        <w:trPr>
          <w:trHeight w:val="94"/>
        </w:trPr>
        <w:tc>
          <w:tcPr>
            <w:tcW w:w="4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Adjustments:</w:t>
            </w:r>
          </w:p>
        </w:tc>
        <w:tc>
          <w:tcPr>
            <w:tcW w:w="200" w:type="dxa"/>
            <w:vAlign w:val="bottom"/>
            <w:shd w:val="clear" w:color="auto" w:fill="DBDBDB"/>
          </w:tcPr>
          <w:p>
            <w:pPr>
              <w:spacing w:after="0"/>
              <w:rPr>
                <w:sz w:val="18"/>
                <w:szCs w:val="18"/>
                <w:color w:val="auto"/>
              </w:rPr>
            </w:pPr>
          </w:p>
        </w:tc>
        <w:tc>
          <w:tcPr>
            <w:tcW w:w="14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24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14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6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480" w:type="dxa"/>
            <w:vAlign w:val="bottom"/>
          </w:tcPr>
          <w:p>
            <w:pPr>
              <w:ind w:left="240"/>
              <w:spacing w:after="0"/>
              <w:rPr>
                <w:sz w:val="20"/>
                <w:szCs w:val="20"/>
                <w:color w:val="auto"/>
              </w:rPr>
            </w:pPr>
            <w:r>
              <w:rPr>
                <w:rFonts w:ascii="Arial" w:cs="Arial" w:eastAsia="Arial" w:hAnsi="Arial"/>
                <w:sz w:val="16"/>
                <w:szCs w:val="16"/>
                <w:color w:val="auto"/>
              </w:rPr>
              <w:t>Interest expense</w:t>
            </w: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146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176</w:t>
            </w:r>
          </w:p>
        </w:tc>
        <w:tc>
          <w:tcPr>
            <w:tcW w:w="0" w:type="dxa"/>
            <w:vAlign w:val="bottom"/>
          </w:tcPr>
          <w:p>
            <w:pPr>
              <w:spacing w:after="0"/>
              <w:rPr>
                <w:sz w:val="1"/>
                <w:szCs w:val="1"/>
                <w:color w:val="auto"/>
              </w:rPr>
            </w:pPr>
          </w:p>
        </w:tc>
      </w:tr>
      <w:tr>
        <w:trPr>
          <w:trHeight w:val="217"/>
        </w:trPr>
        <w:tc>
          <w:tcPr>
            <w:tcW w:w="4480" w:type="dxa"/>
            <w:vAlign w:val="bottom"/>
            <w:shd w:val="clear" w:color="auto" w:fill="DBDBDB"/>
          </w:tcPr>
          <w:p>
            <w:pPr>
              <w:ind w:left="240"/>
              <w:spacing w:after="0"/>
              <w:rPr>
                <w:sz w:val="20"/>
                <w:szCs w:val="20"/>
                <w:color w:val="auto"/>
              </w:rPr>
            </w:pPr>
            <w:r>
              <w:rPr>
                <w:rFonts w:ascii="Arial" w:cs="Arial" w:eastAsia="Arial" w:hAnsi="Arial"/>
                <w:sz w:val="16"/>
                <w:szCs w:val="16"/>
                <w:color w:val="auto"/>
              </w:rPr>
              <w:t>Income tax expense</w:t>
            </w:r>
          </w:p>
        </w:tc>
        <w:tc>
          <w:tcPr>
            <w:tcW w:w="200" w:type="dxa"/>
            <w:vAlign w:val="bottom"/>
            <w:shd w:val="clear" w:color="auto" w:fill="DBDBDB"/>
          </w:tcPr>
          <w:p>
            <w:pPr>
              <w:spacing w:after="0"/>
              <w:rPr>
                <w:sz w:val="18"/>
                <w:szCs w:val="18"/>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89</w:t>
            </w: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139</w:t>
            </w:r>
          </w:p>
        </w:tc>
        <w:tc>
          <w:tcPr>
            <w:tcW w:w="8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569</w:t>
            </w: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329</w:t>
            </w:r>
          </w:p>
        </w:tc>
        <w:tc>
          <w:tcPr>
            <w:tcW w:w="0" w:type="dxa"/>
            <w:vAlign w:val="bottom"/>
          </w:tcPr>
          <w:p>
            <w:pPr>
              <w:spacing w:after="0"/>
              <w:rPr>
                <w:sz w:val="1"/>
                <w:szCs w:val="1"/>
                <w:color w:val="auto"/>
              </w:rPr>
            </w:pPr>
          </w:p>
        </w:tc>
      </w:tr>
      <w:tr>
        <w:trPr>
          <w:trHeight w:val="215"/>
        </w:trPr>
        <w:tc>
          <w:tcPr>
            <w:tcW w:w="4480" w:type="dxa"/>
            <w:vAlign w:val="bottom"/>
          </w:tcPr>
          <w:p>
            <w:pPr>
              <w:ind w:left="240"/>
              <w:spacing w:after="0"/>
              <w:rPr>
                <w:sz w:val="20"/>
                <w:szCs w:val="20"/>
                <w:color w:val="auto"/>
              </w:rPr>
            </w:pPr>
            <w:r>
              <w:rPr>
                <w:rFonts w:ascii="Arial" w:cs="Arial" w:eastAsia="Arial" w:hAnsi="Arial"/>
                <w:sz w:val="16"/>
                <w:szCs w:val="16"/>
                <w:color w:val="auto"/>
              </w:rPr>
              <w:t>Depreciation, depletion and amortization</w:t>
            </w: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750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741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2,183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2,221</w:t>
            </w:r>
          </w:p>
        </w:tc>
        <w:tc>
          <w:tcPr>
            <w:tcW w:w="0" w:type="dxa"/>
            <w:vAlign w:val="bottom"/>
          </w:tcPr>
          <w:p>
            <w:pPr>
              <w:spacing w:after="0"/>
              <w:rPr>
                <w:sz w:val="1"/>
                <w:szCs w:val="1"/>
                <w:color w:val="auto"/>
              </w:rPr>
            </w:pPr>
          </w:p>
        </w:tc>
      </w:tr>
      <w:tr>
        <w:trPr>
          <w:trHeight w:val="217"/>
        </w:trPr>
        <w:tc>
          <w:tcPr>
            <w:tcW w:w="4480" w:type="dxa"/>
            <w:vAlign w:val="bottom"/>
            <w:shd w:val="clear" w:color="auto" w:fill="DBDBDB"/>
          </w:tcPr>
          <w:p>
            <w:pPr>
              <w:ind w:left="240"/>
              <w:spacing w:after="0"/>
              <w:rPr>
                <w:sz w:val="20"/>
                <w:szCs w:val="20"/>
                <w:color w:val="auto"/>
              </w:rPr>
            </w:pPr>
            <w:r>
              <w:rPr>
                <w:rFonts w:ascii="Arial" w:cs="Arial" w:eastAsia="Arial" w:hAnsi="Arial"/>
                <w:sz w:val="16"/>
                <w:szCs w:val="16"/>
                <w:color w:val="auto"/>
              </w:rPr>
              <w:t>Exploration</w:t>
            </w:r>
          </w:p>
        </w:tc>
        <w:tc>
          <w:tcPr>
            <w:tcW w:w="200" w:type="dxa"/>
            <w:vAlign w:val="bottom"/>
            <w:shd w:val="clear" w:color="auto" w:fill="DBDBDB"/>
          </w:tcPr>
          <w:p>
            <w:pPr>
              <w:spacing w:after="0"/>
              <w:rPr>
                <w:sz w:val="18"/>
                <w:szCs w:val="18"/>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w:t>
            </w:r>
          </w:p>
        </w:tc>
        <w:tc>
          <w:tcPr>
            <w:tcW w:w="8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49</w:t>
            </w: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15"/>
        </w:trPr>
        <w:tc>
          <w:tcPr>
            <w:tcW w:w="4480" w:type="dxa"/>
            <w:vAlign w:val="bottom"/>
          </w:tcPr>
          <w:p>
            <w:pPr>
              <w:ind w:left="240"/>
              <w:spacing w:after="0"/>
              <w:rPr>
                <w:sz w:val="20"/>
                <w:szCs w:val="20"/>
                <w:color w:val="auto"/>
              </w:rPr>
            </w:pPr>
            <w:r>
              <w:rPr>
                <w:rFonts w:ascii="Arial" w:cs="Arial" w:eastAsia="Arial" w:hAnsi="Arial"/>
                <w:sz w:val="16"/>
                <w:szCs w:val="16"/>
                <w:color w:val="auto"/>
              </w:rPr>
              <w:t>Unrealized gains on derivatives</w:t>
            </w: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(153)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(309)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(585)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(182)</w:t>
            </w:r>
          </w:p>
        </w:tc>
        <w:tc>
          <w:tcPr>
            <w:tcW w:w="0" w:type="dxa"/>
            <w:vAlign w:val="bottom"/>
          </w:tcPr>
          <w:p>
            <w:pPr>
              <w:spacing w:after="0"/>
              <w:rPr>
                <w:sz w:val="1"/>
                <w:szCs w:val="1"/>
                <w:color w:val="auto"/>
              </w:rPr>
            </w:pPr>
          </w:p>
        </w:tc>
      </w:tr>
      <w:tr>
        <w:trPr>
          <w:trHeight w:val="217"/>
        </w:trPr>
        <w:tc>
          <w:tcPr>
            <w:tcW w:w="4480" w:type="dxa"/>
            <w:vAlign w:val="bottom"/>
            <w:shd w:val="clear" w:color="auto" w:fill="DBDBDB"/>
          </w:tcPr>
          <w:p>
            <w:pPr>
              <w:ind w:left="240"/>
              <w:spacing w:after="0"/>
              <w:rPr>
                <w:sz w:val="20"/>
                <w:szCs w:val="20"/>
                <w:color w:val="auto"/>
              </w:rPr>
            </w:pPr>
            <w:r>
              <w:rPr>
                <w:rFonts w:ascii="Arial" w:cs="Arial" w:eastAsia="Arial" w:hAnsi="Arial"/>
                <w:sz w:val="16"/>
                <w:szCs w:val="16"/>
                <w:color w:val="auto"/>
              </w:rPr>
              <w:t>Separation and other termination costs</w:t>
            </w:r>
          </w:p>
        </w:tc>
        <w:tc>
          <w:tcPr>
            <w:tcW w:w="200" w:type="dxa"/>
            <w:vAlign w:val="bottom"/>
            <w:shd w:val="clear" w:color="auto" w:fill="DBDBDB"/>
          </w:tcPr>
          <w:p>
            <w:pPr>
              <w:spacing w:after="0"/>
              <w:rPr>
                <w:sz w:val="18"/>
                <w:szCs w:val="18"/>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w:t>
            </w:r>
          </w:p>
        </w:tc>
        <w:tc>
          <w:tcPr>
            <w:tcW w:w="8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5"/>
        </w:trPr>
        <w:tc>
          <w:tcPr>
            <w:tcW w:w="4480" w:type="dxa"/>
            <w:vAlign w:val="bottom"/>
          </w:tcPr>
          <w:p>
            <w:pPr>
              <w:ind w:left="240"/>
              <w:spacing w:after="0"/>
              <w:rPr>
                <w:sz w:val="20"/>
                <w:szCs w:val="20"/>
                <w:color w:val="auto"/>
              </w:rPr>
            </w:pPr>
            <w:r>
              <w:rPr>
                <w:rFonts w:ascii="Arial" w:cs="Arial" w:eastAsia="Arial" w:hAnsi="Arial"/>
                <w:sz w:val="16"/>
                <w:szCs w:val="16"/>
                <w:color w:val="auto"/>
              </w:rPr>
              <w:t>(Gains) losses on sales of assets</w:t>
            </w: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7"/>
        </w:trPr>
        <w:tc>
          <w:tcPr>
            <w:tcW w:w="4480" w:type="dxa"/>
            <w:vAlign w:val="bottom"/>
            <w:shd w:val="clear" w:color="auto" w:fill="DBDBDB"/>
          </w:tcPr>
          <w:p>
            <w:pPr>
              <w:ind w:left="240"/>
              <w:spacing w:after="0"/>
              <w:rPr>
                <w:sz w:val="20"/>
                <w:szCs w:val="20"/>
                <w:color w:val="auto"/>
              </w:rPr>
            </w:pPr>
            <w:r>
              <w:rPr>
                <w:rFonts w:ascii="Arial" w:cs="Arial" w:eastAsia="Arial" w:hAnsi="Arial"/>
                <w:sz w:val="16"/>
                <w:szCs w:val="16"/>
                <w:color w:val="auto"/>
              </w:rPr>
              <w:t>Other operating expense (income), net</w:t>
            </w:r>
          </w:p>
        </w:tc>
        <w:tc>
          <w:tcPr>
            <w:tcW w:w="200" w:type="dxa"/>
            <w:vAlign w:val="bottom"/>
            <w:shd w:val="clear" w:color="auto" w:fill="DBDBDB"/>
          </w:tcPr>
          <w:p>
            <w:pPr>
              <w:spacing w:after="0"/>
              <w:rPr>
                <w:sz w:val="18"/>
                <w:szCs w:val="18"/>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(40)</w:t>
            </w:r>
          </w:p>
        </w:tc>
        <w:tc>
          <w:tcPr>
            <w:tcW w:w="8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35</w:t>
            </w: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15"/>
        </w:trPr>
        <w:tc>
          <w:tcPr>
            <w:tcW w:w="4480" w:type="dxa"/>
            <w:vAlign w:val="bottom"/>
          </w:tcPr>
          <w:p>
            <w:pPr>
              <w:ind w:left="240"/>
              <w:spacing w:after="0"/>
              <w:rPr>
                <w:sz w:val="20"/>
                <w:szCs w:val="20"/>
                <w:color w:val="auto"/>
              </w:rPr>
            </w:pPr>
            <w:r>
              <w:rPr>
                <w:rFonts w:ascii="Arial" w:cs="Arial" w:eastAsia="Arial" w:hAnsi="Arial"/>
                <w:sz w:val="16"/>
                <w:szCs w:val="16"/>
                <w:color w:val="auto"/>
              </w:rPr>
              <w:t>Contract amortization</w:t>
            </w: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(137)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(171)</w:t>
            </w:r>
          </w:p>
        </w:tc>
        <w:tc>
          <w:tcPr>
            <w:tcW w:w="0" w:type="dxa"/>
            <w:vAlign w:val="bottom"/>
          </w:tcPr>
          <w:p>
            <w:pPr>
              <w:spacing w:after="0"/>
              <w:rPr>
                <w:sz w:val="1"/>
                <w:szCs w:val="1"/>
                <w:color w:val="auto"/>
              </w:rPr>
            </w:pPr>
          </w:p>
        </w:tc>
      </w:tr>
      <w:tr>
        <w:trPr>
          <w:trHeight w:val="163"/>
        </w:trPr>
        <w:tc>
          <w:tcPr>
            <w:tcW w:w="4480" w:type="dxa"/>
            <w:vAlign w:val="bottom"/>
            <w:shd w:val="clear" w:color="auto" w:fill="DBDBDB"/>
          </w:tcPr>
          <w:p>
            <w:pPr>
              <w:ind w:left="240"/>
              <w:spacing w:after="0" w:line="163" w:lineRule="exact"/>
              <w:rPr>
                <w:sz w:val="20"/>
                <w:szCs w:val="20"/>
                <w:color w:val="auto"/>
              </w:rPr>
            </w:pPr>
            <w:r>
              <w:rPr>
                <w:rFonts w:ascii="Arial" w:cs="Arial" w:eastAsia="Arial" w:hAnsi="Arial"/>
                <w:sz w:val="16"/>
                <w:szCs w:val="16"/>
                <w:color w:val="auto"/>
              </w:rPr>
              <w:t>Gains on purchases, exchanges or extinguishments of</w:t>
            </w:r>
          </w:p>
        </w:tc>
        <w:tc>
          <w:tcPr>
            <w:tcW w:w="200" w:type="dxa"/>
            <w:vAlign w:val="bottom"/>
            <w:shd w:val="clear" w:color="auto" w:fill="DBDBDB"/>
          </w:tcPr>
          <w:p>
            <w:pPr>
              <w:spacing w:after="0"/>
              <w:rPr>
                <w:sz w:val="14"/>
                <w:szCs w:val="14"/>
                <w:color w:val="auto"/>
              </w:rPr>
            </w:pPr>
          </w:p>
        </w:tc>
        <w:tc>
          <w:tcPr>
            <w:tcW w:w="1520" w:type="dxa"/>
            <w:vAlign w:val="bottom"/>
            <w:gridSpan w:val="2"/>
            <w:vMerge w:val="restart"/>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DBDBDB"/>
          </w:tcPr>
          <w:p>
            <w:pPr>
              <w:spacing w:after="0"/>
              <w:rPr>
                <w:sz w:val="14"/>
                <w:szCs w:val="14"/>
                <w:color w:val="auto"/>
              </w:rPr>
            </w:pPr>
          </w:p>
        </w:tc>
        <w:tc>
          <w:tcPr>
            <w:tcW w:w="124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DBDBDB"/>
          </w:tcPr>
          <w:p>
            <w:pPr>
              <w:spacing w:after="0"/>
              <w:rPr>
                <w:sz w:val="14"/>
                <w:szCs w:val="14"/>
                <w:color w:val="auto"/>
              </w:rPr>
            </w:pPr>
          </w:p>
        </w:tc>
        <w:tc>
          <w:tcPr>
            <w:tcW w:w="220" w:type="dxa"/>
            <w:vAlign w:val="bottom"/>
            <w:shd w:val="clear" w:color="auto" w:fill="DBDBDB"/>
          </w:tcPr>
          <w:p>
            <w:pPr>
              <w:spacing w:after="0"/>
              <w:rPr>
                <w:sz w:val="14"/>
                <w:szCs w:val="14"/>
                <w:color w:val="auto"/>
              </w:rPr>
            </w:pPr>
          </w:p>
        </w:tc>
        <w:tc>
          <w:tcPr>
            <w:tcW w:w="140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rPr>
              <w:t>(37)</w:t>
            </w:r>
          </w:p>
        </w:tc>
        <w:tc>
          <w:tcPr>
            <w:tcW w:w="100" w:type="dxa"/>
            <w:vAlign w:val="bottom"/>
            <w:shd w:val="clear" w:color="auto" w:fill="DBDBDB"/>
          </w:tcPr>
          <w:p>
            <w:pPr>
              <w:spacing w:after="0"/>
              <w:rPr>
                <w:sz w:val="14"/>
                <w:szCs w:val="14"/>
                <w:color w:val="auto"/>
              </w:rPr>
            </w:pPr>
          </w:p>
        </w:tc>
        <w:tc>
          <w:tcPr>
            <w:tcW w:w="360" w:type="dxa"/>
            <w:vAlign w:val="bottom"/>
            <w:shd w:val="clear" w:color="auto" w:fill="DBDBDB"/>
          </w:tcPr>
          <w:p>
            <w:pPr>
              <w:spacing w:after="0"/>
              <w:rPr>
                <w:sz w:val="14"/>
                <w:szCs w:val="14"/>
                <w:color w:val="auto"/>
              </w:rPr>
            </w:pPr>
          </w:p>
        </w:tc>
        <w:tc>
          <w:tcPr>
            <w:tcW w:w="126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33"/>
        </w:trPr>
        <w:tc>
          <w:tcPr>
            <w:tcW w:w="4480" w:type="dxa"/>
            <w:vAlign w:val="bottom"/>
            <w:vMerge w:val="restart"/>
            <w:shd w:val="clear" w:color="auto" w:fill="DBDBDB"/>
          </w:tcPr>
          <w:p>
            <w:pPr>
              <w:ind w:left="240"/>
              <w:spacing w:after="0"/>
              <w:rPr>
                <w:sz w:val="20"/>
                <w:szCs w:val="20"/>
                <w:color w:val="auto"/>
              </w:rPr>
            </w:pPr>
            <w:r>
              <w:rPr>
                <w:rFonts w:ascii="Arial" w:cs="Arial" w:eastAsia="Arial" w:hAnsi="Arial"/>
                <w:sz w:val="16"/>
                <w:szCs w:val="16"/>
                <w:color w:val="auto"/>
              </w:rPr>
              <w:t>debt</w:t>
            </w:r>
          </w:p>
        </w:tc>
        <w:tc>
          <w:tcPr>
            <w:tcW w:w="200" w:type="dxa"/>
            <w:vAlign w:val="bottom"/>
            <w:shd w:val="clear" w:color="auto" w:fill="DBDBDB"/>
          </w:tcPr>
          <w:p>
            <w:pPr>
              <w:spacing w:after="0"/>
              <w:rPr>
                <w:sz w:val="11"/>
                <w:szCs w:val="11"/>
                <w:color w:val="auto"/>
              </w:rPr>
            </w:pPr>
          </w:p>
        </w:tc>
        <w:tc>
          <w:tcPr>
            <w:tcW w:w="1520" w:type="dxa"/>
            <w:vAlign w:val="bottom"/>
            <w:gridSpan w:val="2"/>
            <w:vMerge w:val="continue"/>
            <w:shd w:val="clear" w:color="auto" w:fill="DBDBDB"/>
          </w:tcPr>
          <w:p>
            <w:pPr>
              <w:spacing w:after="0"/>
              <w:rPr>
                <w:sz w:val="11"/>
                <w:szCs w:val="11"/>
                <w:color w:val="auto"/>
              </w:rPr>
            </w:pPr>
          </w:p>
        </w:tc>
        <w:tc>
          <w:tcPr>
            <w:tcW w:w="380" w:type="dxa"/>
            <w:vAlign w:val="bottom"/>
            <w:shd w:val="clear" w:color="auto" w:fill="DBDBDB"/>
          </w:tcPr>
          <w:p>
            <w:pPr>
              <w:spacing w:after="0"/>
              <w:rPr>
                <w:sz w:val="11"/>
                <w:szCs w:val="11"/>
                <w:color w:val="auto"/>
              </w:rPr>
            </w:pPr>
          </w:p>
        </w:tc>
        <w:tc>
          <w:tcPr>
            <w:tcW w:w="1240" w:type="dxa"/>
            <w:vAlign w:val="bottom"/>
            <w:vMerge w:val="continue"/>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220" w:type="dxa"/>
            <w:vAlign w:val="bottom"/>
            <w:shd w:val="clear" w:color="auto" w:fill="DBDBDB"/>
          </w:tcPr>
          <w:p>
            <w:pPr>
              <w:spacing w:after="0"/>
              <w:rPr>
                <w:sz w:val="11"/>
                <w:szCs w:val="11"/>
                <w:color w:val="auto"/>
              </w:rPr>
            </w:pPr>
          </w:p>
        </w:tc>
        <w:tc>
          <w:tcPr>
            <w:tcW w:w="1400" w:type="dxa"/>
            <w:vAlign w:val="bottom"/>
            <w:vMerge w:val="continue"/>
            <w:shd w:val="clear" w:color="auto" w:fill="DBDBDB"/>
          </w:tcPr>
          <w:p>
            <w:pPr>
              <w:spacing w:after="0"/>
              <w:rPr>
                <w:sz w:val="11"/>
                <w:szCs w:val="11"/>
                <w:color w:val="auto"/>
              </w:rPr>
            </w:pPr>
          </w:p>
        </w:tc>
        <w:tc>
          <w:tcPr>
            <w:tcW w:w="100" w:type="dxa"/>
            <w:vAlign w:val="bottom"/>
            <w:shd w:val="clear" w:color="auto" w:fill="DBDBDB"/>
          </w:tcPr>
          <w:p>
            <w:pPr>
              <w:spacing w:after="0"/>
              <w:rPr>
                <w:sz w:val="11"/>
                <w:szCs w:val="11"/>
                <w:color w:val="auto"/>
              </w:rPr>
            </w:pPr>
          </w:p>
        </w:tc>
        <w:tc>
          <w:tcPr>
            <w:tcW w:w="360" w:type="dxa"/>
            <w:vAlign w:val="bottom"/>
            <w:shd w:val="clear" w:color="auto" w:fill="DBDBDB"/>
          </w:tcPr>
          <w:p>
            <w:pPr>
              <w:spacing w:after="0"/>
              <w:rPr>
                <w:sz w:val="11"/>
                <w:szCs w:val="11"/>
                <w:color w:val="auto"/>
              </w:rPr>
            </w:pPr>
          </w:p>
        </w:tc>
        <w:tc>
          <w:tcPr>
            <w:tcW w:w="1260" w:type="dxa"/>
            <w:vAlign w:val="bottom"/>
            <w:vMerge w:val="continue"/>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4480" w:type="dxa"/>
            <w:vAlign w:val="bottom"/>
            <w:vMerge w:val="continue"/>
            <w:shd w:val="clear" w:color="auto" w:fill="DBDBDB"/>
          </w:tcPr>
          <w:p>
            <w:pPr>
              <w:spacing w:after="0"/>
              <w:rPr>
                <w:sz w:val="7"/>
                <w:szCs w:val="7"/>
                <w:color w:val="auto"/>
              </w:rPr>
            </w:pPr>
          </w:p>
        </w:tc>
        <w:tc>
          <w:tcPr>
            <w:tcW w:w="200" w:type="dxa"/>
            <w:vAlign w:val="bottom"/>
            <w:shd w:val="clear" w:color="auto" w:fill="DBDBDB"/>
          </w:tcPr>
          <w:p>
            <w:pPr>
              <w:spacing w:after="0"/>
              <w:rPr>
                <w:sz w:val="7"/>
                <w:szCs w:val="7"/>
                <w:color w:val="auto"/>
              </w:rPr>
            </w:pPr>
          </w:p>
        </w:tc>
        <w:tc>
          <w:tcPr>
            <w:tcW w:w="1420" w:type="dxa"/>
            <w:vAlign w:val="bottom"/>
            <w:shd w:val="clear" w:color="auto" w:fill="DBDBDB"/>
          </w:tcPr>
          <w:p>
            <w:pPr>
              <w:spacing w:after="0"/>
              <w:rPr>
                <w:sz w:val="7"/>
                <w:szCs w:val="7"/>
                <w:color w:val="auto"/>
              </w:rPr>
            </w:pPr>
          </w:p>
        </w:tc>
        <w:tc>
          <w:tcPr>
            <w:tcW w:w="100" w:type="dxa"/>
            <w:vAlign w:val="bottom"/>
            <w:shd w:val="clear" w:color="auto" w:fill="DBDBDB"/>
          </w:tcPr>
          <w:p>
            <w:pPr>
              <w:spacing w:after="0"/>
              <w:rPr>
                <w:sz w:val="7"/>
                <w:szCs w:val="7"/>
                <w:color w:val="auto"/>
              </w:rPr>
            </w:pPr>
          </w:p>
        </w:tc>
        <w:tc>
          <w:tcPr>
            <w:tcW w:w="380" w:type="dxa"/>
            <w:vAlign w:val="bottom"/>
            <w:shd w:val="clear" w:color="auto" w:fill="DBDBDB"/>
          </w:tcPr>
          <w:p>
            <w:pPr>
              <w:spacing w:after="0"/>
              <w:rPr>
                <w:sz w:val="7"/>
                <w:szCs w:val="7"/>
                <w:color w:val="auto"/>
              </w:rPr>
            </w:pPr>
          </w:p>
        </w:tc>
        <w:tc>
          <w:tcPr>
            <w:tcW w:w="1240" w:type="dxa"/>
            <w:vAlign w:val="bottom"/>
            <w:shd w:val="clear" w:color="auto" w:fill="DBDBDB"/>
          </w:tcPr>
          <w:p>
            <w:pPr>
              <w:spacing w:after="0"/>
              <w:rPr>
                <w:sz w:val="7"/>
                <w:szCs w:val="7"/>
                <w:color w:val="auto"/>
              </w:rPr>
            </w:pPr>
          </w:p>
        </w:tc>
        <w:tc>
          <w:tcPr>
            <w:tcW w:w="80" w:type="dxa"/>
            <w:vAlign w:val="bottom"/>
            <w:shd w:val="clear" w:color="auto" w:fill="DBDBDB"/>
          </w:tcPr>
          <w:p>
            <w:pPr>
              <w:spacing w:after="0"/>
              <w:rPr>
                <w:sz w:val="7"/>
                <w:szCs w:val="7"/>
                <w:color w:val="auto"/>
              </w:rPr>
            </w:pPr>
          </w:p>
        </w:tc>
        <w:tc>
          <w:tcPr>
            <w:tcW w:w="220" w:type="dxa"/>
            <w:vAlign w:val="bottom"/>
            <w:shd w:val="clear" w:color="auto" w:fill="DBDBDB"/>
          </w:tcPr>
          <w:p>
            <w:pPr>
              <w:spacing w:after="0"/>
              <w:rPr>
                <w:sz w:val="7"/>
                <w:szCs w:val="7"/>
                <w:color w:val="auto"/>
              </w:rPr>
            </w:pPr>
          </w:p>
        </w:tc>
        <w:tc>
          <w:tcPr>
            <w:tcW w:w="1400" w:type="dxa"/>
            <w:vAlign w:val="bottom"/>
            <w:shd w:val="clear" w:color="auto" w:fill="DBDBDB"/>
          </w:tcPr>
          <w:p>
            <w:pPr>
              <w:spacing w:after="0"/>
              <w:rPr>
                <w:sz w:val="7"/>
                <w:szCs w:val="7"/>
                <w:color w:val="auto"/>
              </w:rPr>
            </w:pPr>
          </w:p>
        </w:tc>
        <w:tc>
          <w:tcPr>
            <w:tcW w:w="100" w:type="dxa"/>
            <w:vAlign w:val="bottom"/>
            <w:shd w:val="clear" w:color="auto" w:fill="DBDBDB"/>
          </w:tcPr>
          <w:p>
            <w:pPr>
              <w:spacing w:after="0"/>
              <w:rPr>
                <w:sz w:val="7"/>
                <w:szCs w:val="7"/>
                <w:color w:val="auto"/>
              </w:rPr>
            </w:pPr>
          </w:p>
        </w:tc>
        <w:tc>
          <w:tcPr>
            <w:tcW w:w="360" w:type="dxa"/>
            <w:vAlign w:val="bottom"/>
            <w:shd w:val="clear" w:color="auto" w:fill="DBDBDB"/>
          </w:tcPr>
          <w:p>
            <w:pPr>
              <w:spacing w:after="0"/>
              <w:rPr>
                <w:sz w:val="7"/>
                <w:szCs w:val="7"/>
                <w:color w:val="auto"/>
              </w:rPr>
            </w:pPr>
          </w:p>
        </w:tc>
        <w:tc>
          <w:tcPr>
            <w:tcW w:w="1260" w:type="dxa"/>
            <w:vAlign w:val="bottom"/>
            <w:shd w:val="clear" w:color="auto" w:fill="DBDBDB"/>
          </w:tcPr>
          <w:p>
            <w:pPr>
              <w:spacing w:after="0"/>
              <w:rPr>
                <w:sz w:val="7"/>
                <w:szCs w:val="7"/>
                <w:color w:val="auto"/>
              </w:rPr>
            </w:pPr>
          </w:p>
        </w:tc>
        <w:tc>
          <w:tcPr>
            <w:tcW w:w="0" w:type="dxa"/>
            <w:vAlign w:val="bottom"/>
          </w:tcPr>
          <w:p>
            <w:pPr>
              <w:spacing w:after="0"/>
              <w:rPr>
                <w:sz w:val="1"/>
                <w:szCs w:val="1"/>
                <w:color w:val="auto"/>
              </w:rPr>
            </w:pPr>
          </w:p>
        </w:tc>
      </w:tr>
      <w:tr>
        <w:trPr>
          <w:trHeight w:val="215"/>
        </w:trPr>
        <w:tc>
          <w:tcPr>
            <w:tcW w:w="4480" w:type="dxa"/>
            <w:vAlign w:val="bottom"/>
            <w:tcBorders>
              <w:bottom w:val="single" w:sz="8" w:color="DBDBDB"/>
            </w:tcBorders>
          </w:tcPr>
          <w:p>
            <w:pPr>
              <w:ind w:left="24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DBDBDB"/>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80" w:type="dxa"/>
            <w:vAlign w:val="bottom"/>
            <w:tcBorders>
              <w:bottom w:val="single" w:sz="8" w:color="DBDBDB"/>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w:t>
            </w:r>
          </w:p>
        </w:tc>
        <w:tc>
          <w:tcPr>
            <w:tcW w:w="100" w:type="dxa"/>
            <w:vAlign w:val="bottom"/>
            <w:tcBorders>
              <w:bottom w:val="single" w:sz="8" w:color="DBDBDB"/>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35"/>
        </w:trPr>
        <w:tc>
          <w:tcPr>
            <w:tcW w:w="44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b w:val="1"/>
                <w:bCs w:val="1"/>
                <w:color w:val="auto"/>
              </w:rPr>
              <w:t>Adjusted EBITDAX (Non-GAAP)</w:t>
            </w:r>
          </w:p>
        </w:tc>
        <w:tc>
          <w:tcPr>
            <w:tcW w:w="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1,229</w:t>
            </w:r>
          </w:p>
        </w:tc>
        <w:tc>
          <w:tcPr>
            <w:tcW w:w="100" w:type="dxa"/>
            <w:vAlign w:val="bottom"/>
            <w:tcBorders>
              <w:bottom w:val="single" w:sz="8" w:color="DBDBDB"/>
            </w:tcBorders>
            <w:shd w:val="clear" w:color="auto" w:fill="DBDBDB"/>
          </w:tcPr>
          <w:p>
            <w:pPr>
              <w:spacing w:after="0"/>
              <w:rPr>
                <w:sz w:val="20"/>
                <w:szCs w:val="20"/>
                <w:color w:val="auto"/>
              </w:rPr>
            </w:pPr>
          </w:p>
        </w:tc>
        <w:tc>
          <w:tcPr>
            <w:tcW w:w="380" w:type="dxa"/>
            <w:vAlign w:val="bottom"/>
            <w:tcBorders>
              <w:bottom w:val="single" w:sz="8" w:color="auto"/>
            </w:tcBorders>
            <w:shd w:val="clear" w:color="auto" w:fill="DBDBDB"/>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1,082</w:t>
            </w:r>
          </w:p>
        </w:tc>
        <w:tc>
          <w:tcPr>
            <w:tcW w:w="80" w:type="dxa"/>
            <w:vAlign w:val="bottom"/>
            <w:tcBorders>
              <w:bottom w:val="single" w:sz="8" w:color="DBDBDB"/>
            </w:tcBorders>
            <w:shd w:val="clear" w:color="auto" w:fill="DBDBDB"/>
          </w:tcPr>
          <w:p>
            <w:pPr>
              <w:spacing w:after="0"/>
              <w:rPr>
                <w:sz w:val="20"/>
                <w:szCs w:val="20"/>
                <w:color w:val="auto"/>
              </w:rPr>
            </w:pPr>
          </w:p>
        </w:tc>
        <w:tc>
          <w:tcPr>
            <w:tcW w:w="220" w:type="dxa"/>
            <w:vAlign w:val="bottom"/>
            <w:tcBorders>
              <w:bottom w:val="single" w:sz="8" w:color="auto"/>
            </w:tcBorders>
            <w:shd w:val="clear" w:color="auto" w:fill="DBDBDB"/>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4,380</w:t>
            </w:r>
          </w:p>
        </w:tc>
        <w:tc>
          <w:tcPr>
            <w:tcW w:w="100" w:type="dxa"/>
            <w:vAlign w:val="bottom"/>
            <w:tcBorders>
              <w:bottom w:val="single" w:sz="8" w:color="DBDBDB"/>
            </w:tcBorders>
            <w:shd w:val="clear" w:color="auto" w:fill="DBDBDB"/>
          </w:tcPr>
          <w:p>
            <w:pPr>
              <w:spacing w:after="0"/>
              <w:rPr>
                <w:sz w:val="20"/>
                <w:szCs w:val="20"/>
                <w:color w:val="auto"/>
              </w:rPr>
            </w:pPr>
          </w:p>
        </w:tc>
        <w:tc>
          <w:tcPr>
            <w:tcW w:w="360" w:type="dxa"/>
            <w:vAlign w:val="bottom"/>
            <w:tcBorders>
              <w:bottom w:val="single" w:sz="8" w:color="auto"/>
            </w:tcBorders>
            <w:shd w:val="clear" w:color="auto" w:fill="DBDBDB"/>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3,653</w:t>
            </w:r>
          </w:p>
        </w:tc>
        <w:tc>
          <w:tcPr>
            <w:tcW w:w="0" w:type="dxa"/>
            <w:vAlign w:val="bottom"/>
          </w:tcPr>
          <w:p>
            <w:pPr>
              <w:spacing w:after="0"/>
              <w:rPr>
                <w:sz w:val="1"/>
                <w:szCs w:val="1"/>
                <w:color w:val="auto"/>
              </w:rPr>
            </w:pPr>
          </w:p>
        </w:tc>
      </w:tr>
      <w:tr>
        <w:trPr>
          <w:trHeight w:val="20"/>
        </w:trPr>
        <w:tc>
          <w:tcPr>
            <w:tcW w:w="448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14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24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14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6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0" w:right="3280"/>
        <w:spacing w:after="0" w:line="249" w:lineRule="auto"/>
        <w:rPr>
          <w:sz w:val="20"/>
          <w:szCs w:val="20"/>
          <w:color w:val="auto"/>
        </w:rPr>
      </w:pPr>
      <w:r>
        <w:rPr>
          <w:rFonts w:ascii="Arial" w:cs="Arial" w:eastAsia="Arial" w:hAnsi="Arial"/>
          <w:sz w:val="18"/>
          <w:szCs w:val="18"/>
          <w:b w:val="1"/>
          <w:bCs w:val="1"/>
          <w:color w:val="00386C"/>
        </w:rPr>
        <w:t>RECONCILIATION OF MARKETING SEGMENT INCOME FROM OPERATIONS TO MARKETING ADJUSTED EBITDA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569214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92140" cy="8890"/>
                    </a:xfrm>
                    <a:prstGeom prst="rect">
                      <a:avLst/>
                    </a:prstGeom>
                    <a:noFill/>
                  </pic:spPr>
                </pic:pic>
              </a:graphicData>
            </a:graphic>
          </wp:anchor>
        </w:drawing>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20" w:type="dxa"/>
            <w:vAlign w:val="bottom"/>
            <w:gridSpan w:val="5"/>
          </w:tcPr>
          <w:p>
            <w:pPr>
              <w:ind w:left="100"/>
              <w:spacing w:after="0"/>
              <w:rPr>
                <w:sz w:val="20"/>
                <w:szCs w:val="20"/>
                <w:color w:val="auto"/>
              </w:rPr>
            </w:pPr>
            <w:r>
              <w:rPr>
                <w:rFonts w:ascii="Arial" w:cs="Arial" w:eastAsia="Arial" w:hAnsi="Arial"/>
                <w:sz w:val="16"/>
                <w:szCs w:val="16"/>
                <w:b w:val="1"/>
                <w:bCs w:val="1"/>
                <w:color w:val="auto"/>
              </w:rPr>
              <w:t>Three Months Ended September 30,</w:t>
            </w:r>
          </w:p>
        </w:tc>
        <w:tc>
          <w:tcPr>
            <w:tcW w:w="220" w:type="dxa"/>
            <w:vAlign w:val="bottom"/>
          </w:tcPr>
          <w:p>
            <w:pPr>
              <w:spacing w:after="0"/>
              <w:rPr>
                <w:sz w:val="18"/>
                <w:szCs w:val="18"/>
                <w:color w:val="auto"/>
              </w:rPr>
            </w:pPr>
          </w:p>
        </w:tc>
        <w:tc>
          <w:tcPr>
            <w:tcW w:w="3120" w:type="dxa"/>
            <w:vAlign w:val="bottom"/>
            <w:gridSpan w:val="4"/>
          </w:tcPr>
          <w:p>
            <w:pPr>
              <w:jc w:val="right"/>
              <w:ind w:right="259"/>
              <w:spacing w:after="0"/>
              <w:rPr>
                <w:sz w:val="20"/>
                <w:szCs w:val="20"/>
                <w:color w:val="auto"/>
              </w:rPr>
            </w:pPr>
            <w:r>
              <w:rPr>
                <w:rFonts w:ascii="Arial" w:cs="Arial" w:eastAsia="Arial" w:hAnsi="Arial"/>
                <w:sz w:val="16"/>
                <w:szCs w:val="16"/>
                <w:b w:val="1"/>
                <w:bCs w:val="1"/>
                <w:color w:val="auto"/>
              </w:rPr>
              <w:t>Nine Months Ended September 30,</w:t>
            </w:r>
          </w:p>
        </w:tc>
      </w:tr>
      <w:tr>
        <w:trPr>
          <w:trHeight w:val="210"/>
        </w:trPr>
        <w:tc>
          <w:tcPr>
            <w:tcW w:w="4480" w:type="dxa"/>
            <w:vAlign w:val="bottom"/>
            <w:tcBorders>
              <w:bottom w:val="single" w:sz="8" w:color="DBDBDB"/>
            </w:tcBorders>
          </w:tcPr>
          <w:p>
            <w:pPr>
              <w:ind w:left="20"/>
              <w:spacing w:after="0"/>
              <w:rPr>
                <w:sz w:val="20"/>
                <w:szCs w:val="20"/>
                <w:color w:val="auto"/>
              </w:rPr>
            </w:pPr>
            <w:r>
              <w:rPr>
                <w:rFonts w:ascii="Arial" w:cs="Arial" w:eastAsia="Arial" w:hAnsi="Arial"/>
                <w:sz w:val="16"/>
                <w:szCs w:val="16"/>
                <w:i w:val="1"/>
                <w:iCs w:val="1"/>
                <w:color w:val="auto"/>
              </w:rPr>
              <w:t>($ in millions)</w:t>
            </w:r>
          </w:p>
        </w:tc>
        <w:tc>
          <w:tcPr>
            <w:tcW w:w="20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top w:val="single" w:sz="8" w:color="auto"/>
              <w:bottom w:val="single" w:sz="8" w:color="DBDBDB"/>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bottom w:val="single" w:sz="8" w:color="DBDBDB"/>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top w:val="single" w:sz="8" w:color="auto"/>
              <w:bottom w:val="single" w:sz="8" w:color="DBDBDB"/>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2025</w:t>
            </w:r>
          </w:p>
        </w:tc>
      </w:tr>
      <w:tr>
        <w:trPr>
          <w:trHeight w:val="210"/>
        </w:trPr>
        <w:tc>
          <w:tcPr>
            <w:tcW w:w="448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Marketing segment income from operations (GAAP)</w:t>
            </w:r>
          </w:p>
        </w:tc>
        <w:tc>
          <w:tcPr>
            <w:tcW w:w="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94</w:t>
            </w: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62</w:t>
            </w:r>
          </w:p>
        </w:tc>
        <w:tc>
          <w:tcPr>
            <w:tcW w:w="80" w:type="dxa"/>
            <w:vAlign w:val="bottom"/>
            <w:shd w:val="clear" w:color="auto" w:fill="DBDBDB"/>
          </w:tcPr>
          <w:p>
            <w:pPr>
              <w:spacing w:after="0"/>
              <w:rPr>
                <w:sz w:val="18"/>
                <w:szCs w:val="18"/>
                <w:color w:val="auto"/>
              </w:rPr>
            </w:pPr>
          </w:p>
        </w:tc>
        <w:tc>
          <w:tcPr>
            <w:tcW w:w="22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371</w:t>
            </w: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184</w:t>
            </w:r>
          </w:p>
        </w:tc>
      </w:tr>
      <w:tr>
        <w:trPr>
          <w:trHeight w:val="215"/>
        </w:trPr>
        <w:tc>
          <w:tcPr>
            <w:tcW w:w="4480" w:type="dxa"/>
            <w:vAlign w:val="bottom"/>
          </w:tcPr>
          <w:p>
            <w:pPr>
              <w:ind w:left="240"/>
              <w:spacing w:after="0"/>
              <w:rPr>
                <w:sz w:val="20"/>
                <w:szCs w:val="20"/>
                <w:color w:val="auto"/>
              </w:rPr>
            </w:pPr>
            <w:r>
              <w:rPr>
                <w:rFonts w:ascii="Arial" w:cs="Arial" w:eastAsia="Arial" w:hAnsi="Arial"/>
                <w:sz w:val="16"/>
                <w:szCs w:val="16"/>
                <w:color w:val="auto"/>
              </w:rPr>
              <w:t>Intersegment GP&amp;T fees eliminated in consolidation</w:t>
            </w: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(214)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(189)</w:t>
            </w:r>
          </w:p>
        </w:tc>
      </w:tr>
      <w:tr>
        <w:trPr>
          <w:trHeight w:val="217"/>
        </w:trPr>
        <w:tc>
          <w:tcPr>
            <w:tcW w:w="4480" w:type="dxa"/>
            <w:vAlign w:val="bottom"/>
            <w:shd w:val="clear" w:color="auto" w:fill="DBDBDB"/>
          </w:tcPr>
          <w:p>
            <w:pPr>
              <w:ind w:left="240"/>
              <w:spacing w:after="0"/>
              <w:rPr>
                <w:sz w:val="20"/>
                <w:szCs w:val="20"/>
                <w:color w:val="auto"/>
              </w:rPr>
            </w:pPr>
            <w:r>
              <w:rPr>
                <w:rFonts w:ascii="Arial" w:cs="Arial" w:eastAsia="Arial" w:hAnsi="Arial"/>
                <w:sz w:val="16"/>
                <w:szCs w:val="16"/>
                <w:color w:val="auto"/>
              </w:rPr>
              <w:t>Unrealized gains on marketing derivatives</w:t>
            </w:r>
          </w:p>
        </w:tc>
        <w:tc>
          <w:tcPr>
            <w:tcW w:w="200" w:type="dxa"/>
            <w:vAlign w:val="bottom"/>
            <w:shd w:val="clear" w:color="auto" w:fill="DBDBDB"/>
          </w:tcPr>
          <w:p>
            <w:pPr>
              <w:spacing w:after="0"/>
              <w:rPr>
                <w:sz w:val="18"/>
                <w:szCs w:val="18"/>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32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DBDBDB"/>
          </w:tcPr>
          <w:p>
            <w:pPr>
              <w:spacing w:after="0"/>
              <w:rPr>
                <w:sz w:val="18"/>
                <w:szCs w:val="18"/>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4480" w:type="dxa"/>
            <w:vAlign w:val="bottom"/>
          </w:tcPr>
          <w:p>
            <w:pPr>
              <w:ind w:left="240"/>
              <w:spacing w:after="0"/>
              <w:rPr>
                <w:sz w:val="20"/>
                <w:szCs w:val="20"/>
                <w:color w:val="auto"/>
              </w:rPr>
            </w:pPr>
            <w:r>
              <w:rPr>
                <w:rFonts w:ascii="Arial" w:cs="Arial" w:eastAsia="Arial" w:hAnsi="Arial"/>
                <w:sz w:val="16"/>
                <w:szCs w:val="16"/>
                <w:color w:val="auto"/>
              </w:rPr>
              <w:t>Depreciation and amortization</w:t>
            </w: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5"/>
        </w:trPr>
        <w:tc>
          <w:tcPr>
            <w:tcW w:w="448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6"/>
                <w:szCs w:val="16"/>
                <w:b w:val="1"/>
                <w:bCs w:val="1"/>
                <w:color w:val="auto"/>
              </w:rPr>
              <w:t>Marketing Adjusted EBITDA (Non-GAAP)</w:t>
            </w:r>
          </w:p>
        </w:tc>
        <w:tc>
          <w:tcPr>
            <w:tcW w:w="2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35</w:t>
            </w:r>
          </w:p>
        </w:tc>
        <w:tc>
          <w:tcPr>
            <w:tcW w:w="100" w:type="dxa"/>
            <w:vAlign w:val="bottom"/>
            <w:tcBorders>
              <w:top w:val="single" w:sz="8" w:color="DBDBDB"/>
              <w:bottom w:val="single" w:sz="8" w:color="DBDBDB"/>
            </w:tcBorders>
            <w:shd w:val="clear" w:color="auto" w:fill="DBDBDB"/>
          </w:tcPr>
          <w:p>
            <w:pPr>
              <w:spacing w:after="0"/>
              <w:rPr>
                <w:sz w:val="20"/>
                <w:szCs w:val="20"/>
                <w:color w:val="auto"/>
              </w:rPr>
            </w:pPr>
          </w:p>
        </w:tc>
        <w:tc>
          <w:tcPr>
            <w:tcW w:w="380" w:type="dxa"/>
            <w:vAlign w:val="bottom"/>
            <w:tcBorders>
              <w:top w:val="single" w:sz="8" w:color="auto"/>
              <w:bottom w:val="single" w:sz="8" w:color="auto"/>
            </w:tcBorders>
            <w:shd w:val="clear" w:color="auto" w:fill="DBDBDB"/>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7</w:t>
            </w:r>
          </w:p>
        </w:tc>
        <w:tc>
          <w:tcPr>
            <w:tcW w:w="80" w:type="dxa"/>
            <w:vAlign w:val="bottom"/>
            <w:tcBorders>
              <w:top w:val="single" w:sz="8" w:color="DBDBDB"/>
              <w:bottom w:val="single" w:sz="8" w:color="DBDBDB"/>
            </w:tcBorders>
            <w:shd w:val="clear" w:color="auto" w:fill="DBDBDB"/>
          </w:tcPr>
          <w:p>
            <w:pPr>
              <w:spacing w:after="0"/>
              <w:rPr>
                <w:sz w:val="20"/>
                <w:szCs w:val="20"/>
                <w:color w:val="auto"/>
              </w:rPr>
            </w:pPr>
          </w:p>
        </w:tc>
        <w:tc>
          <w:tcPr>
            <w:tcW w:w="220" w:type="dxa"/>
            <w:vAlign w:val="bottom"/>
            <w:tcBorders>
              <w:top w:val="single" w:sz="8" w:color="auto"/>
              <w:bottom w:val="single" w:sz="8" w:color="auto"/>
            </w:tcBorders>
            <w:shd w:val="clear" w:color="auto" w:fill="DBDBDB"/>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150</w:t>
            </w:r>
          </w:p>
        </w:tc>
        <w:tc>
          <w:tcPr>
            <w:tcW w:w="100" w:type="dxa"/>
            <w:vAlign w:val="bottom"/>
            <w:tcBorders>
              <w:top w:val="single" w:sz="8" w:color="DBDBDB"/>
              <w:bottom w:val="single" w:sz="8" w:color="DBDBDB"/>
            </w:tcBorders>
            <w:shd w:val="clear" w:color="auto" w:fill="DBDBDB"/>
          </w:tcPr>
          <w:p>
            <w:pPr>
              <w:spacing w:after="0"/>
              <w:rPr>
                <w:sz w:val="20"/>
                <w:szCs w:val="20"/>
                <w:color w:val="auto"/>
              </w:rPr>
            </w:pPr>
          </w:p>
        </w:tc>
        <w:tc>
          <w:tcPr>
            <w:tcW w:w="360" w:type="dxa"/>
            <w:vAlign w:val="bottom"/>
            <w:tcBorders>
              <w:top w:val="single" w:sz="8" w:color="auto"/>
              <w:bottom w:val="single" w:sz="8" w:color="auto"/>
            </w:tcBorders>
            <w:shd w:val="clear" w:color="auto" w:fill="DBDBDB"/>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w:t>
            </w:r>
          </w:p>
        </w:tc>
      </w:tr>
      <w:tr>
        <w:trPr>
          <w:trHeight w:val="20"/>
        </w:trPr>
        <w:tc>
          <w:tcPr>
            <w:tcW w:w="448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14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24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14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60" w:type="dxa"/>
            <w:vAlign w:val="bottom"/>
            <w:tcBorders>
              <w:top w:val="single" w:sz="8" w:color="DBDBDB"/>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440" w:right="339" w:bottom="1440" w:gutter="0" w:footer="0" w:header="0"/>
        </w:sectPr>
      </w:pPr>
    </w:p>
    <w:bookmarkStart w:id="16" w:name="page17"/>
    <w:bookmarkEnd w:id="1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0" w:right="2560"/>
        <w:spacing w:after="0" w:line="265" w:lineRule="auto"/>
        <w:rPr>
          <w:sz w:val="20"/>
          <w:szCs w:val="20"/>
          <w:color w:val="auto"/>
        </w:rPr>
      </w:pPr>
      <w:r>
        <w:rPr>
          <w:rFonts w:ascii="Arial" w:cs="Arial" w:eastAsia="Arial" w:hAnsi="Arial"/>
          <w:sz w:val="18"/>
          <w:szCs w:val="18"/>
          <w:b w:val="1"/>
          <w:bCs w:val="1"/>
          <w:color w:val="00386C"/>
        </w:rPr>
        <w:t>RECONCILIATION OF NET CASH PROVIDED BY OPERATING ACTIVITIES TO ADJUSTED FREE CASH FLOW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57607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12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 in millions)</w:t>
            </w:r>
          </w:p>
        </w:tc>
        <w:tc>
          <w:tcPr>
            <w:tcW w:w="240" w:type="dxa"/>
            <w:vAlign w:val="bottom"/>
          </w:tcPr>
          <w:p>
            <w:pPr>
              <w:spacing w:after="0"/>
              <w:rPr>
                <w:sz w:val="18"/>
                <w:szCs w:val="18"/>
                <w:color w:val="auto"/>
              </w:rPr>
            </w:pPr>
          </w:p>
        </w:tc>
        <w:tc>
          <w:tcPr>
            <w:tcW w:w="3380" w:type="dxa"/>
            <w:vAlign w:val="bottom"/>
            <w:gridSpan w:val="5"/>
          </w:tcPr>
          <w:p>
            <w:pPr>
              <w:ind w:left="140"/>
              <w:spacing w:after="0"/>
              <w:rPr>
                <w:sz w:val="20"/>
                <w:szCs w:val="20"/>
                <w:color w:val="auto"/>
              </w:rPr>
            </w:pPr>
            <w:r>
              <w:rPr>
                <w:rFonts w:ascii="Arial" w:cs="Arial" w:eastAsia="Arial" w:hAnsi="Arial"/>
                <w:sz w:val="16"/>
                <w:szCs w:val="16"/>
                <w:b w:val="1"/>
                <w:bCs w:val="1"/>
                <w:color w:val="auto"/>
              </w:rPr>
              <w:t>Three Months Ended September 30,</w:t>
            </w:r>
          </w:p>
        </w:tc>
        <w:tc>
          <w:tcPr>
            <w:tcW w:w="260" w:type="dxa"/>
            <w:vAlign w:val="bottom"/>
          </w:tcPr>
          <w:p>
            <w:pPr>
              <w:spacing w:after="0"/>
              <w:rPr>
                <w:sz w:val="18"/>
                <w:szCs w:val="18"/>
                <w:color w:val="auto"/>
              </w:rPr>
            </w:pPr>
          </w:p>
        </w:tc>
        <w:tc>
          <w:tcPr>
            <w:tcW w:w="3240" w:type="dxa"/>
            <w:vAlign w:val="bottom"/>
            <w:gridSpan w:val="4"/>
          </w:tcPr>
          <w:p>
            <w:pPr>
              <w:jc w:val="right"/>
              <w:ind w:right="339"/>
              <w:spacing w:after="0"/>
              <w:rPr>
                <w:sz w:val="20"/>
                <w:szCs w:val="20"/>
                <w:color w:val="auto"/>
              </w:rPr>
            </w:pPr>
            <w:r>
              <w:rPr>
                <w:rFonts w:ascii="Arial" w:cs="Arial" w:eastAsia="Arial" w:hAnsi="Arial"/>
                <w:sz w:val="16"/>
                <w:szCs w:val="16"/>
                <w:b w:val="1"/>
                <w:bCs w:val="1"/>
                <w:color w:val="auto"/>
              </w:rPr>
              <w:t>Nine Months Ended September 30,</w:t>
            </w:r>
          </w:p>
        </w:tc>
        <w:tc>
          <w:tcPr>
            <w:tcW w:w="0" w:type="dxa"/>
            <w:vAlign w:val="bottom"/>
          </w:tcPr>
          <w:p>
            <w:pPr>
              <w:spacing w:after="0"/>
              <w:rPr>
                <w:sz w:val="1"/>
                <w:szCs w:val="1"/>
                <w:color w:val="auto"/>
              </w:rPr>
            </w:pPr>
          </w:p>
        </w:tc>
      </w:tr>
      <w:tr>
        <w:trPr>
          <w:trHeight w:val="209"/>
        </w:trPr>
        <w:tc>
          <w:tcPr>
            <w:tcW w:w="4120" w:type="dxa"/>
            <w:vAlign w:val="bottom"/>
            <w:tcBorders>
              <w:bottom w:val="single" w:sz="8" w:color="DBDBDB"/>
            </w:tcBorders>
            <w:vMerge w:val="continue"/>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2026</w:t>
            </w:r>
          </w:p>
        </w:tc>
        <w:tc>
          <w:tcPr>
            <w:tcW w:w="120" w:type="dxa"/>
            <w:vAlign w:val="bottom"/>
            <w:tcBorders>
              <w:top w:val="single" w:sz="8" w:color="auto"/>
              <w:bottom w:val="single" w:sz="8" w:color="DBDBDB"/>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DBDBDB"/>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top w:val="single" w:sz="8" w:color="auto"/>
              <w:bottom w:val="single" w:sz="8" w:color="DBDBDB"/>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210"/>
        </w:trPr>
        <w:tc>
          <w:tcPr>
            <w:tcW w:w="412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Net cash provided by operating activities (GAAP)</w:t>
            </w:r>
          </w:p>
        </w:tc>
        <w:tc>
          <w:tcPr>
            <w:tcW w:w="240" w:type="dxa"/>
            <w:vAlign w:val="bottom"/>
            <w:shd w:val="clear" w:color="auto" w:fill="DBDBDB"/>
          </w:tcPr>
          <w:p>
            <w:pPr>
              <w:jc w:val="right"/>
              <w:ind w:right="5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1,177</w:t>
            </w:r>
          </w:p>
        </w:tc>
        <w:tc>
          <w:tcPr>
            <w:tcW w:w="120" w:type="dxa"/>
            <w:vAlign w:val="bottom"/>
            <w:shd w:val="clear" w:color="auto" w:fill="DBDBDB"/>
          </w:tcPr>
          <w:p>
            <w:pPr>
              <w:spacing w:after="0"/>
              <w:rPr>
                <w:sz w:val="18"/>
                <w:szCs w:val="18"/>
                <w:color w:val="auto"/>
              </w:rPr>
            </w:pPr>
          </w:p>
        </w:tc>
        <w:tc>
          <w:tcPr>
            <w:tcW w:w="380" w:type="dxa"/>
            <w:vAlign w:val="bottom"/>
            <w:shd w:val="clear" w:color="auto" w:fill="DBDBDB"/>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1,201</w:t>
            </w:r>
          </w:p>
        </w:tc>
        <w:tc>
          <w:tcPr>
            <w:tcW w:w="100" w:type="dxa"/>
            <w:vAlign w:val="bottom"/>
            <w:shd w:val="clear" w:color="auto" w:fill="DBDBDB"/>
          </w:tcPr>
          <w:p>
            <w:pPr>
              <w:spacing w:after="0"/>
              <w:rPr>
                <w:sz w:val="18"/>
                <w:szCs w:val="18"/>
                <w:color w:val="auto"/>
              </w:rPr>
            </w:pPr>
          </w:p>
        </w:tc>
        <w:tc>
          <w:tcPr>
            <w:tcW w:w="260" w:type="dxa"/>
            <w:vAlign w:val="bottom"/>
            <w:shd w:val="clear" w:color="auto" w:fill="DBDBDB"/>
          </w:tcPr>
          <w:p>
            <w:pPr>
              <w:jc w:val="right"/>
              <w:ind w:right="59"/>
              <w:spacing w:after="0"/>
              <w:rPr>
                <w:sz w:val="20"/>
                <w:szCs w:val="20"/>
                <w:color w:val="auto"/>
              </w:rPr>
            </w:pPr>
            <w:r>
              <w:rPr>
                <w:rFonts w:ascii="Arial" w:cs="Arial" w:eastAsia="Arial" w:hAnsi="Arial"/>
                <w:sz w:val="16"/>
                <w:szCs w:val="16"/>
                <w:color w:val="auto"/>
              </w:rPr>
              <w:t>$</w:t>
            </w:r>
          </w:p>
        </w:tc>
        <w:tc>
          <w:tcPr>
            <w:tcW w:w="14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4,675</w:t>
            </w: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3,619</w:t>
            </w:r>
          </w:p>
        </w:tc>
        <w:tc>
          <w:tcPr>
            <w:tcW w:w="0" w:type="dxa"/>
            <w:vAlign w:val="bottom"/>
          </w:tcPr>
          <w:p>
            <w:pPr>
              <w:spacing w:after="0"/>
              <w:rPr>
                <w:sz w:val="1"/>
                <w:szCs w:val="1"/>
                <w:color w:val="auto"/>
              </w:rPr>
            </w:pPr>
          </w:p>
        </w:tc>
      </w:tr>
      <w:tr>
        <w:trPr>
          <w:trHeight w:val="215"/>
        </w:trPr>
        <w:tc>
          <w:tcPr>
            <w:tcW w:w="4120" w:type="dxa"/>
            <w:vAlign w:val="bottom"/>
            <w:tcBorders>
              <w:bottom w:val="single" w:sz="8" w:color="DBDBDB"/>
            </w:tcBorders>
          </w:tcPr>
          <w:p>
            <w:pPr>
              <w:ind w:left="240"/>
              <w:spacing w:after="0"/>
              <w:rPr>
                <w:sz w:val="20"/>
                <w:szCs w:val="20"/>
                <w:color w:val="auto"/>
              </w:rPr>
            </w:pPr>
            <w:r>
              <w:rPr>
                <w:rFonts w:ascii="Arial" w:cs="Arial" w:eastAsia="Arial" w:hAnsi="Arial"/>
                <w:sz w:val="16"/>
                <w:szCs w:val="16"/>
                <w:color w:val="auto"/>
              </w:rPr>
              <w:t>Cash capital expenditures</w:t>
            </w: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(838)</w:t>
            </w:r>
          </w:p>
        </w:tc>
        <w:tc>
          <w:tcPr>
            <w:tcW w:w="120" w:type="dxa"/>
            <w:vAlign w:val="bottom"/>
            <w:tcBorders>
              <w:bottom w:val="single" w:sz="8" w:color="DBDBDB"/>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(775)</w:t>
            </w:r>
          </w:p>
        </w:tc>
        <w:tc>
          <w:tcPr>
            <w:tcW w:w="100" w:type="dxa"/>
            <w:vAlign w:val="bottom"/>
            <w:tcBorders>
              <w:bottom w:val="single" w:sz="8" w:color="DBDBDB"/>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(2,298)</w:t>
            </w:r>
          </w:p>
        </w:tc>
        <w:tc>
          <w:tcPr>
            <w:tcW w:w="100" w:type="dxa"/>
            <w:vAlign w:val="bottom"/>
            <w:tcBorders>
              <w:bottom w:val="single" w:sz="8" w:color="DBDBDB"/>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(1,995)</w:t>
            </w:r>
          </w:p>
        </w:tc>
        <w:tc>
          <w:tcPr>
            <w:tcW w:w="0" w:type="dxa"/>
            <w:vAlign w:val="bottom"/>
          </w:tcPr>
          <w:p>
            <w:pPr>
              <w:spacing w:after="0"/>
              <w:rPr>
                <w:sz w:val="1"/>
                <w:szCs w:val="1"/>
                <w:color w:val="auto"/>
              </w:rPr>
            </w:pPr>
          </w:p>
        </w:tc>
      </w:tr>
      <w:tr>
        <w:trPr>
          <w:trHeight w:val="210"/>
        </w:trPr>
        <w:tc>
          <w:tcPr>
            <w:tcW w:w="412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Free cash flow (Non-GAAP)</w:t>
            </w:r>
          </w:p>
        </w:tc>
        <w:tc>
          <w:tcPr>
            <w:tcW w:w="240" w:type="dxa"/>
            <w:vAlign w:val="bottom"/>
            <w:tcBorders>
              <w:bottom w:val="single" w:sz="8" w:color="auto"/>
            </w:tcBorders>
            <w:shd w:val="clear" w:color="auto" w:fill="DBDBDB"/>
          </w:tcPr>
          <w:p>
            <w:pPr>
              <w:spacing w:after="0"/>
              <w:rPr>
                <w:sz w:val="18"/>
                <w:szCs w:val="18"/>
                <w:color w:val="auto"/>
              </w:rPr>
            </w:pPr>
          </w:p>
        </w:tc>
        <w:tc>
          <w:tcPr>
            <w:tcW w:w="1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339</w:t>
            </w:r>
          </w:p>
        </w:tc>
        <w:tc>
          <w:tcPr>
            <w:tcW w:w="120" w:type="dxa"/>
            <w:vAlign w:val="bottom"/>
            <w:shd w:val="clear" w:color="auto" w:fill="DBDBDB"/>
          </w:tcPr>
          <w:p>
            <w:pPr>
              <w:spacing w:after="0"/>
              <w:rPr>
                <w:sz w:val="18"/>
                <w:szCs w:val="18"/>
                <w:color w:val="auto"/>
              </w:rPr>
            </w:pPr>
          </w:p>
        </w:tc>
        <w:tc>
          <w:tcPr>
            <w:tcW w:w="380" w:type="dxa"/>
            <w:vAlign w:val="bottom"/>
            <w:tcBorders>
              <w:bottom w:val="single" w:sz="8" w:color="auto"/>
            </w:tcBorders>
            <w:shd w:val="clear" w:color="auto" w:fill="DBDBDB"/>
          </w:tcPr>
          <w:p>
            <w:pPr>
              <w:spacing w:after="0"/>
              <w:rPr>
                <w:sz w:val="18"/>
                <w:szCs w:val="18"/>
                <w:color w:val="auto"/>
              </w:rPr>
            </w:pPr>
          </w:p>
        </w:tc>
        <w:tc>
          <w:tcPr>
            <w:tcW w:w="1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426</w:t>
            </w:r>
          </w:p>
        </w:tc>
        <w:tc>
          <w:tcPr>
            <w:tcW w:w="100" w:type="dxa"/>
            <w:vAlign w:val="bottom"/>
            <w:shd w:val="clear" w:color="auto" w:fill="DBDBDB"/>
          </w:tcPr>
          <w:p>
            <w:pPr>
              <w:spacing w:after="0"/>
              <w:rPr>
                <w:sz w:val="18"/>
                <w:szCs w:val="18"/>
                <w:color w:val="auto"/>
              </w:rPr>
            </w:pPr>
          </w:p>
        </w:tc>
        <w:tc>
          <w:tcPr>
            <w:tcW w:w="260" w:type="dxa"/>
            <w:vAlign w:val="bottom"/>
            <w:tcBorders>
              <w:bottom w:val="single" w:sz="8" w:color="auto"/>
            </w:tcBorders>
            <w:shd w:val="clear" w:color="auto" w:fill="DBDBDB"/>
          </w:tcPr>
          <w:p>
            <w:pPr>
              <w:spacing w:after="0"/>
              <w:rPr>
                <w:sz w:val="18"/>
                <w:szCs w:val="18"/>
                <w:color w:val="auto"/>
              </w:rPr>
            </w:pPr>
          </w:p>
        </w:tc>
        <w:tc>
          <w:tcPr>
            <w:tcW w:w="1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2,377</w:t>
            </w:r>
          </w:p>
        </w:tc>
        <w:tc>
          <w:tcPr>
            <w:tcW w:w="100" w:type="dxa"/>
            <w:vAlign w:val="bottom"/>
            <w:shd w:val="clear" w:color="auto" w:fill="DBDBDB"/>
          </w:tcPr>
          <w:p>
            <w:pPr>
              <w:spacing w:after="0"/>
              <w:rPr>
                <w:sz w:val="18"/>
                <w:szCs w:val="18"/>
                <w:color w:val="auto"/>
              </w:rPr>
            </w:pPr>
          </w:p>
        </w:tc>
        <w:tc>
          <w:tcPr>
            <w:tcW w:w="380" w:type="dxa"/>
            <w:vAlign w:val="bottom"/>
            <w:tcBorders>
              <w:bottom w:val="single" w:sz="8" w:color="auto"/>
            </w:tcBorders>
            <w:shd w:val="clear" w:color="auto" w:fill="DBDBDB"/>
          </w:tcPr>
          <w:p>
            <w:pPr>
              <w:spacing w:after="0"/>
              <w:rPr>
                <w:sz w:val="18"/>
                <w:szCs w:val="18"/>
                <w:color w:val="auto"/>
              </w:rPr>
            </w:pPr>
          </w:p>
        </w:tc>
        <w:tc>
          <w:tcPr>
            <w:tcW w:w="1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1,624</w:t>
            </w:r>
          </w:p>
        </w:tc>
        <w:tc>
          <w:tcPr>
            <w:tcW w:w="0" w:type="dxa"/>
            <w:vAlign w:val="bottom"/>
          </w:tcPr>
          <w:p>
            <w:pPr>
              <w:spacing w:after="0"/>
              <w:rPr>
                <w:sz w:val="1"/>
                <w:szCs w:val="1"/>
                <w:color w:val="auto"/>
              </w:rPr>
            </w:pPr>
          </w:p>
        </w:tc>
      </w:tr>
      <w:tr>
        <w:trPr>
          <w:trHeight w:val="209"/>
        </w:trPr>
        <w:tc>
          <w:tcPr>
            <w:tcW w:w="4120" w:type="dxa"/>
            <w:vAlign w:val="bottom"/>
          </w:tcPr>
          <w:p>
            <w:pPr>
              <w:ind w:left="240"/>
              <w:spacing w:after="0"/>
              <w:rPr>
                <w:sz w:val="20"/>
                <w:szCs w:val="20"/>
                <w:color w:val="auto"/>
              </w:rPr>
            </w:pPr>
            <w:r>
              <w:rPr>
                <w:rFonts w:ascii="Arial" w:cs="Arial" w:eastAsia="Arial" w:hAnsi="Arial"/>
                <w:sz w:val="16"/>
                <w:szCs w:val="16"/>
                <w:color w:val="auto"/>
              </w:rPr>
              <w:t>Cash distributions from investments</w:t>
            </w: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120" w:type="dxa"/>
            <w:vAlign w:val="bottom"/>
            <w:shd w:val="clear" w:color="auto" w:fill="DBDBDB"/>
          </w:tcPr>
          <w:p>
            <w:pPr>
              <w:ind w:left="240"/>
              <w:spacing w:after="0"/>
              <w:rPr>
                <w:sz w:val="20"/>
                <w:szCs w:val="20"/>
                <w:color w:val="auto"/>
              </w:rPr>
            </w:pPr>
            <w:r>
              <w:rPr>
                <w:rFonts w:ascii="Arial" w:cs="Arial" w:eastAsia="Arial" w:hAnsi="Arial"/>
                <w:sz w:val="16"/>
                <w:szCs w:val="16"/>
                <w:color w:val="auto"/>
              </w:rPr>
              <w:t>Cash contributions to investments</w:t>
            </w:r>
          </w:p>
        </w:tc>
        <w:tc>
          <w:tcPr>
            <w:tcW w:w="240" w:type="dxa"/>
            <w:vAlign w:val="bottom"/>
            <w:shd w:val="clear" w:color="auto" w:fill="DBDBDB"/>
          </w:tcPr>
          <w:p>
            <w:pPr>
              <w:spacing w:after="0"/>
              <w:rPr>
                <w:sz w:val="18"/>
                <w:szCs w:val="18"/>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5"/>
        </w:trPr>
        <w:tc>
          <w:tcPr>
            <w:tcW w:w="4120" w:type="dxa"/>
            <w:vAlign w:val="bottom"/>
            <w:tcBorders>
              <w:bottom w:val="single" w:sz="8" w:color="DBDBDB"/>
            </w:tcBorders>
          </w:tcPr>
          <w:p>
            <w:pPr>
              <w:ind w:left="240"/>
              <w:spacing w:after="0"/>
              <w:rPr>
                <w:sz w:val="20"/>
                <w:szCs w:val="20"/>
                <w:color w:val="auto"/>
              </w:rPr>
            </w:pPr>
            <w:r>
              <w:rPr>
                <w:rFonts w:ascii="Arial" w:cs="Arial" w:eastAsia="Arial" w:hAnsi="Arial"/>
                <w:sz w:val="16"/>
                <w:szCs w:val="16"/>
                <w:color w:val="auto"/>
              </w:rPr>
              <w:t>Cash paid for merger expenses</w:t>
            </w: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DBDBDB"/>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DBDBDB"/>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DBDBDB"/>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35"/>
        </w:trPr>
        <w:tc>
          <w:tcPr>
            <w:tcW w:w="41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b w:val="1"/>
                <w:bCs w:val="1"/>
                <w:color w:val="auto"/>
              </w:rPr>
              <w:t>Adjusted free cash flow (Non-GAAP)</w:t>
            </w:r>
          </w:p>
        </w:tc>
        <w:tc>
          <w:tcPr>
            <w:tcW w:w="240" w:type="dxa"/>
            <w:vAlign w:val="bottom"/>
            <w:tcBorders>
              <w:bottom w:val="single" w:sz="8" w:color="auto"/>
            </w:tcBorders>
            <w:shd w:val="clear" w:color="auto" w:fill="DBDBDB"/>
          </w:tcPr>
          <w:p>
            <w:pPr>
              <w:jc w:val="right"/>
              <w:ind w:right="5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354</w:t>
            </w:r>
          </w:p>
        </w:tc>
        <w:tc>
          <w:tcPr>
            <w:tcW w:w="120" w:type="dxa"/>
            <w:vAlign w:val="bottom"/>
            <w:tcBorders>
              <w:bottom w:val="single" w:sz="8" w:color="DBDBDB"/>
            </w:tcBorders>
            <w:shd w:val="clear" w:color="auto" w:fill="DBDBDB"/>
          </w:tcPr>
          <w:p>
            <w:pPr>
              <w:spacing w:after="0"/>
              <w:rPr>
                <w:sz w:val="20"/>
                <w:szCs w:val="20"/>
                <w:color w:val="auto"/>
              </w:rPr>
            </w:pPr>
          </w:p>
        </w:tc>
        <w:tc>
          <w:tcPr>
            <w:tcW w:w="380" w:type="dxa"/>
            <w:vAlign w:val="bottom"/>
            <w:tcBorders>
              <w:bottom w:val="single" w:sz="8" w:color="auto"/>
            </w:tcBorders>
            <w:shd w:val="clear" w:color="auto" w:fill="DBDBDB"/>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423</w:t>
            </w:r>
          </w:p>
        </w:tc>
        <w:tc>
          <w:tcPr>
            <w:tcW w:w="100" w:type="dxa"/>
            <w:vAlign w:val="bottom"/>
            <w:tcBorders>
              <w:bottom w:val="single" w:sz="8" w:color="DBDBDB"/>
            </w:tcBorders>
            <w:shd w:val="clear" w:color="auto" w:fill="DBDBDB"/>
          </w:tcPr>
          <w:p>
            <w:pPr>
              <w:spacing w:after="0"/>
              <w:rPr>
                <w:sz w:val="20"/>
                <w:szCs w:val="20"/>
                <w:color w:val="auto"/>
              </w:rPr>
            </w:pPr>
          </w:p>
        </w:tc>
        <w:tc>
          <w:tcPr>
            <w:tcW w:w="260" w:type="dxa"/>
            <w:vAlign w:val="bottom"/>
            <w:tcBorders>
              <w:bottom w:val="single" w:sz="8" w:color="auto"/>
            </w:tcBorders>
            <w:shd w:val="clear" w:color="auto" w:fill="DBDBDB"/>
          </w:tcPr>
          <w:p>
            <w:pPr>
              <w:jc w:val="right"/>
              <w:ind w:right="5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2,401</w:t>
            </w:r>
          </w:p>
        </w:tc>
        <w:tc>
          <w:tcPr>
            <w:tcW w:w="100" w:type="dxa"/>
            <w:vAlign w:val="bottom"/>
            <w:tcBorders>
              <w:bottom w:val="single" w:sz="8" w:color="DBDBDB"/>
            </w:tcBorders>
            <w:shd w:val="clear" w:color="auto" w:fill="DBDBDB"/>
          </w:tcPr>
          <w:p>
            <w:pPr>
              <w:spacing w:after="0"/>
              <w:rPr>
                <w:sz w:val="20"/>
                <w:szCs w:val="20"/>
                <w:color w:val="auto"/>
              </w:rPr>
            </w:pPr>
          </w:p>
        </w:tc>
        <w:tc>
          <w:tcPr>
            <w:tcW w:w="380" w:type="dxa"/>
            <w:vAlign w:val="bottom"/>
            <w:tcBorders>
              <w:bottom w:val="single" w:sz="8" w:color="auto"/>
            </w:tcBorders>
            <w:shd w:val="clear" w:color="auto" w:fill="DBDBDB"/>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1,692</w:t>
            </w:r>
          </w:p>
        </w:tc>
        <w:tc>
          <w:tcPr>
            <w:tcW w:w="0" w:type="dxa"/>
            <w:vAlign w:val="bottom"/>
          </w:tcPr>
          <w:p>
            <w:pPr>
              <w:spacing w:after="0"/>
              <w:rPr>
                <w:sz w:val="1"/>
                <w:szCs w:val="1"/>
                <w:color w:val="auto"/>
              </w:rPr>
            </w:pPr>
          </w:p>
        </w:tc>
      </w:tr>
      <w:tr>
        <w:trPr>
          <w:trHeight w:val="20"/>
        </w:trPr>
        <w:tc>
          <w:tcPr>
            <w:tcW w:w="412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146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3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14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32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386C"/>
        </w:rPr>
        <w:t>RECONCILIATION OF TOTAL DEBT TO NET DEBT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43725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37255" cy="8255"/>
                    </a:xfrm>
                    <a:prstGeom prst="rect">
                      <a:avLst/>
                    </a:prstGeom>
                    <a:noFill/>
                  </pic:spPr>
                </pic:pic>
              </a:graphicData>
            </a:graphic>
          </wp:anchor>
        </w:drawing>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220" w:type="dxa"/>
            <w:vAlign w:val="bottom"/>
          </w:tcPr>
          <w:p>
            <w:pPr>
              <w:ind w:left="20"/>
              <w:spacing w:after="0"/>
              <w:rPr>
                <w:sz w:val="20"/>
                <w:szCs w:val="20"/>
                <w:color w:val="auto"/>
              </w:rPr>
            </w:pPr>
            <w:r>
              <w:rPr>
                <w:rFonts w:ascii="Arial" w:cs="Arial" w:eastAsia="Arial" w:hAnsi="Arial"/>
                <w:sz w:val="16"/>
                <w:szCs w:val="16"/>
                <w:i w:val="1"/>
                <w:iCs w:val="1"/>
                <w:color w:val="auto"/>
              </w:rPr>
              <w:t>($ in millions)</w:t>
            </w:r>
          </w:p>
        </w:tc>
        <w:tc>
          <w:tcPr>
            <w:tcW w:w="280" w:type="dxa"/>
            <w:vAlign w:val="bottom"/>
          </w:tcPr>
          <w:p>
            <w:pPr>
              <w:spacing w:after="0"/>
              <w:rPr>
                <w:sz w:val="18"/>
                <w:szCs w:val="18"/>
                <w:color w:val="auto"/>
              </w:rPr>
            </w:pPr>
          </w:p>
        </w:tc>
        <w:tc>
          <w:tcPr>
            <w:tcW w:w="2280" w:type="dxa"/>
            <w:vAlign w:val="bottom"/>
            <w:gridSpan w:val="2"/>
          </w:tcPr>
          <w:p>
            <w:pPr>
              <w:ind w:left="200"/>
              <w:spacing w:after="0"/>
              <w:rPr>
                <w:sz w:val="20"/>
                <w:szCs w:val="20"/>
                <w:color w:val="auto"/>
              </w:rPr>
            </w:pPr>
            <w:r>
              <w:rPr>
                <w:rFonts w:ascii="Arial" w:cs="Arial" w:eastAsia="Arial" w:hAnsi="Arial"/>
                <w:sz w:val="16"/>
                <w:szCs w:val="16"/>
                <w:b w:val="1"/>
                <w:bCs w:val="1"/>
                <w:color w:val="auto"/>
              </w:rPr>
              <w:t>September 30, 2026</w:t>
            </w:r>
          </w:p>
        </w:tc>
        <w:tc>
          <w:tcPr>
            <w:tcW w:w="300" w:type="dxa"/>
            <w:vAlign w:val="bottom"/>
          </w:tcPr>
          <w:p>
            <w:pPr>
              <w:spacing w:after="0"/>
              <w:rPr>
                <w:sz w:val="18"/>
                <w:szCs w:val="18"/>
                <w:color w:val="auto"/>
              </w:rPr>
            </w:pPr>
          </w:p>
        </w:tc>
        <w:tc>
          <w:tcPr>
            <w:tcW w:w="2160" w:type="dxa"/>
            <w:vAlign w:val="bottom"/>
          </w:tcPr>
          <w:p>
            <w:pPr>
              <w:jc w:val="right"/>
              <w:ind w:right="419"/>
              <w:spacing w:after="0"/>
              <w:rPr>
                <w:sz w:val="20"/>
                <w:szCs w:val="20"/>
                <w:color w:val="auto"/>
              </w:rPr>
            </w:pPr>
            <w:r>
              <w:rPr>
                <w:rFonts w:ascii="Arial" w:cs="Arial" w:eastAsia="Arial" w:hAnsi="Arial"/>
                <w:sz w:val="16"/>
                <w:szCs w:val="16"/>
                <w:b w:val="1"/>
                <w:bCs w:val="1"/>
                <w:color w:val="auto"/>
              </w:rPr>
              <w:t>December 31, 2025</w:t>
            </w:r>
          </w:p>
        </w:tc>
      </w:tr>
      <w:tr>
        <w:trPr>
          <w:trHeight w:val="210"/>
        </w:trPr>
        <w:tc>
          <w:tcPr>
            <w:tcW w:w="622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6"/>
                <w:szCs w:val="16"/>
                <w:b w:val="1"/>
                <w:bCs w:val="1"/>
                <w:color w:val="auto"/>
              </w:rPr>
              <w:t>Total debt (GAAP)</w:t>
            </w:r>
          </w:p>
        </w:tc>
        <w:tc>
          <w:tcPr>
            <w:tcW w:w="280" w:type="dxa"/>
            <w:vAlign w:val="bottom"/>
            <w:tcBorders>
              <w:top w:val="single" w:sz="8" w:color="auto"/>
            </w:tcBorders>
            <w:shd w:val="clear" w:color="auto" w:fill="DBDBDB"/>
          </w:tcPr>
          <w:p>
            <w:pPr>
              <w:jc w:val="right"/>
              <w:ind w:right="99"/>
              <w:spacing w:after="0"/>
              <w:rPr>
                <w:sz w:val="20"/>
                <w:szCs w:val="20"/>
                <w:color w:val="auto"/>
              </w:rPr>
            </w:pPr>
            <w:r>
              <w:rPr>
                <w:rFonts w:ascii="Arial" w:cs="Arial" w:eastAsia="Arial" w:hAnsi="Arial"/>
                <w:sz w:val="16"/>
                <w:szCs w:val="16"/>
                <w:color w:val="auto"/>
                <w:w w:val="89"/>
              </w:rPr>
              <w:t>$</w:t>
            </w:r>
          </w:p>
        </w:tc>
        <w:tc>
          <w:tcPr>
            <w:tcW w:w="21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4,632</w:t>
            </w:r>
          </w:p>
        </w:tc>
        <w:tc>
          <w:tcPr>
            <w:tcW w:w="100" w:type="dxa"/>
            <w:vAlign w:val="bottom"/>
            <w:tcBorders>
              <w:top w:val="single" w:sz="8" w:color="DBDBDB"/>
            </w:tcBorders>
            <w:shd w:val="clear" w:color="auto" w:fill="DBDBDB"/>
          </w:tcPr>
          <w:p>
            <w:pPr>
              <w:spacing w:after="0"/>
              <w:rPr>
                <w:sz w:val="18"/>
                <w:szCs w:val="18"/>
                <w:color w:val="auto"/>
              </w:rPr>
            </w:pPr>
          </w:p>
        </w:tc>
        <w:tc>
          <w:tcPr>
            <w:tcW w:w="300" w:type="dxa"/>
            <w:vAlign w:val="bottom"/>
            <w:tcBorders>
              <w:top w:val="single" w:sz="8" w:color="auto"/>
            </w:tcBorders>
            <w:shd w:val="clear" w:color="auto" w:fill="DBDBDB"/>
          </w:tcPr>
          <w:p>
            <w:pPr>
              <w:jc w:val="right"/>
              <w:ind w:right="99"/>
              <w:spacing w:after="0"/>
              <w:rPr>
                <w:sz w:val="20"/>
                <w:szCs w:val="20"/>
                <w:color w:val="auto"/>
              </w:rPr>
            </w:pPr>
            <w:r>
              <w:rPr>
                <w:rFonts w:ascii="Arial" w:cs="Arial" w:eastAsia="Arial" w:hAnsi="Arial"/>
                <w:sz w:val="16"/>
                <w:szCs w:val="16"/>
                <w:color w:val="auto"/>
              </w:rPr>
              <w:t>$</w:t>
            </w:r>
          </w:p>
        </w:tc>
        <w:tc>
          <w:tcPr>
            <w:tcW w:w="21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5,009</w:t>
            </w:r>
          </w:p>
        </w:tc>
      </w:tr>
      <w:tr>
        <w:trPr>
          <w:trHeight w:val="215"/>
        </w:trPr>
        <w:tc>
          <w:tcPr>
            <w:tcW w:w="6220" w:type="dxa"/>
            <w:vAlign w:val="bottom"/>
            <w:tcBorders>
              <w:bottom w:val="single" w:sz="8" w:color="DBDBDB"/>
            </w:tcBorders>
          </w:tcPr>
          <w:p>
            <w:pPr>
              <w:ind w:left="140"/>
              <w:spacing w:after="0"/>
              <w:rPr>
                <w:sz w:val="20"/>
                <w:szCs w:val="20"/>
                <w:color w:val="auto"/>
              </w:rPr>
            </w:pPr>
            <w:r>
              <w:rPr>
                <w:rFonts w:ascii="Arial" w:cs="Arial" w:eastAsia="Arial" w:hAnsi="Arial"/>
                <w:sz w:val="16"/>
                <w:szCs w:val="16"/>
                <w:color w:val="auto"/>
              </w:rPr>
              <w:t>Premiums, discounts and issuance costs on debt</w:t>
            </w:r>
          </w:p>
        </w:tc>
        <w:tc>
          <w:tcPr>
            <w:tcW w:w="28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w:t>
            </w:r>
          </w:p>
        </w:tc>
        <w:tc>
          <w:tcPr>
            <w:tcW w:w="100" w:type="dxa"/>
            <w:vAlign w:val="bottom"/>
            <w:tcBorders>
              <w:bottom w:val="single" w:sz="8" w:color="DBDBDB"/>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r>
      <w:tr>
        <w:trPr>
          <w:trHeight w:val="210"/>
        </w:trPr>
        <w:tc>
          <w:tcPr>
            <w:tcW w:w="622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Principal amount of debt</w:t>
            </w:r>
          </w:p>
        </w:tc>
        <w:tc>
          <w:tcPr>
            <w:tcW w:w="280" w:type="dxa"/>
            <w:vAlign w:val="bottom"/>
            <w:shd w:val="clear" w:color="auto" w:fill="DBDBDB"/>
          </w:tcPr>
          <w:p>
            <w:pPr>
              <w:spacing w:after="0"/>
              <w:rPr>
                <w:sz w:val="18"/>
                <w:szCs w:val="18"/>
                <w:color w:val="auto"/>
              </w:rPr>
            </w:pPr>
          </w:p>
        </w:tc>
        <w:tc>
          <w:tcPr>
            <w:tcW w:w="21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4,688</w:t>
            </w:r>
          </w:p>
        </w:tc>
        <w:tc>
          <w:tcPr>
            <w:tcW w:w="10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2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5,025</w:t>
            </w:r>
          </w:p>
        </w:tc>
      </w:tr>
      <w:tr>
        <w:trPr>
          <w:trHeight w:val="215"/>
        </w:trPr>
        <w:tc>
          <w:tcPr>
            <w:tcW w:w="6220" w:type="dxa"/>
            <w:vAlign w:val="bottom"/>
            <w:tcBorders>
              <w:bottom w:val="single" w:sz="8" w:color="DBDBDB"/>
            </w:tcBorders>
          </w:tcPr>
          <w:p>
            <w:pPr>
              <w:ind w:left="140"/>
              <w:spacing w:after="0"/>
              <w:rPr>
                <w:sz w:val="20"/>
                <w:szCs w:val="20"/>
                <w:color w:val="auto"/>
              </w:rPr>
            </w:pPr>
            <w:r>
              <w:rPr>
                <w:rFonts w:ascii="Arial" w:cs="Arial" w:eastAsia="Arial" w:hAnsi="Arial"/>
                <w:sz w:val="16"/>
                <w:szCs w:val="16"/>
                <w:color w:val="auto"/>
              </w:rPr>
              <w:t>Twin Eagle receivable purchase agreement</w:t>
            </w:r>
          </w:p>
        </w:tc>
        <w:tc>
          <w:tcPr>
            <w:tcW w:w="28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w:t>
            </w:r>
          </w:p>
        </w:tc>
        <w:tc>
          <w:tcPr>
            <w:tcW w:w="100" w:type="dxa"/>
            <w:vAlign w:val="bottom"/>
            <w:tcBorders>
              <w:bottom w:val="single" w:sz="8" w:color="DBDBDB"/>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622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Principal amount of debt and other borrowings</w:t>
            </w:r>
          </w:p>
        </w:tc>
        <w:tc>
          <w:tcPr>
            <w:tcW w:w="280" w:type="dxa"/>
            <w:vAlign w:val="bottom"/>
            <w:shd w:val="clear" w:color="auto" w:fill="DBDBDB"/>
          </w:tcPr>
          <w:p>
            <w:pPr>
              <w:spacing w:after="0"/>
              <w:rPr>
                <w:sz w:val="18"/>
                <w:szCs w:val="18"/>
                <w:color w:val="auto"/>
              </w:rPr>
            </w:pPr>
          </w:p>
        </w:tc>
        <w:tc>
          <w:tcPr>
            <w:tcW w:w="21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4,774</w:t>
            </w:r>
          </w:p>
        </w:tc>
        <w:tc>
          <w:tcPr>
            <w:tcW w:w="10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2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5,025</w:t>
            </w:r>
          </w:p>
        </w:tc>
      </w:tr>
      <w:tr>
        <w:trPr>
          <w:trHeight w:val="215"/>
        </w:trPr>
        <w:tc>
          <w:tcPr>
            <w:tcW w:w="6220" w:type="dxa"/>
            <w:vAlign w:val="bottom"/>
            <w:tcBorders>
              <w:bottom w:val="single" w:sz="8" w:color="DBDBDB"/>
            </w:tcBorders>
          </w:tcPr>
          <w:p>
            <w:pPr>
              <w:ind w:left="140"/>
              <w:spacing w:after="0"/>
              <w:rPr>
                <w:sz w:val="20"/>
                <w:szCs w:val="20"/>
                <w:color w:val="auto"/>
              </w:rPr>
            </w:pPr>
            <w:r>
              <w:rPr>
                <w:rFonts w:ascii="Arial" w:cs="Arial" w:eastAsia="Arial" w:hAnsi="Arial"/>
                <w:sz w:val="16"/>
                <w:szCs w:val="16"/>
                <w:color w:val="auto"/>
              </w:rPr>
              <w:t>Cash and cash equivalents</w:t>
            </w:r>
          </w:p>
        </w:tc>
        <w:tc>
          <w:tcPr>
            <w:tcW w:w="28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w:t>
            </w:r>
          </w:p>
        </w:tc>
        <w:tc>
          <w:tcPr>
            <w:tcW w:w="100" w:type="dxa"/>
            <w:vAlign w:val="bottom"/>
            <w:tcBorders>
              <w:bottom w:val="single" w:sz="8" w:color="DBDBDB"/>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(616)</w:t>
            </w:r>
          </w:p>
        </w:tc>
      </w:tr>
      <w:tr>
        <w:trPr>
          <w:trHeight w:val="235"/>
        </w:trPr>
        <w:tc>
          <w:tcPr>
            <w:tcW w:w="62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b w:val="1"/>
                <w:bCs w:val="1"/>
                <w:color w:val="auto"/>
              </w:rPr>
              <w:t>Net debt (Non-GAAP)</w:t>
            </w:r>
          </w:p>
        </w:tc>
        <w:tc>
          <w:tcPr>
            <w:tcW w:w="280" w:type="dxa"/>
            <w:vAlign w:val="bottom"/>
            <w:tcBorders>
              <w:bottom w:val="single" w:sz="8" w:color="auto"/>
            </w:tcBorders>
            <w:shd w:val="clear" w:color="auto" w:fill="DBDBDB"/>
          </w:tcPr>
          <w:p>
            <w:pPr>
              <w:jc w:val="right"/>
              <w:ind w:right="99"/>
              <w:spacing w:after="0"/>
              <w:rPr>
                <w:sz w:val="20"/>
                <w:szCs w:val="20"/>
                <w:color w:val="auto"/>
              </w:rPr>
            </w:pPr>
            <w:r>
              <w:rPr>
                <w:rFonts w:ascii="Arial" w:cs="Arial" w:eastAsia="Arial" w:hAnsi="Arial"/>
                <w:sz w:val="16"/>
                <w:szCs w:val="16"/>
                <w:color w:val="auto"/>
                <w:w w:val="89"/>
              </w:rPr>
              <w:t>$</w:t>
            </w:r>
          </w:p>
        </w:tc>
        <w:tc>
          <w:tcPr>
            <w:tcW w:w="2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4,656</w:t>
            </w:r>
          </w:p>
        </w:tc>
        <w:tc>
          <w:tcPr>
            <w:tcW w:w="100" w:type="dxa"/>
            <w:vAlign w:val="bottom"/>
            <w:tcBorders>
              <w:bottom w:val="single" w:sz="8" w:color="DBDBDB"/>
            </w:tcBorders>
            <w:shd w:val="clear" w:color="auto" w:fill="DBDBDB"/>
          </w:tcPr>
          <w:p>
            <w:pPr>
              <w:spacing w:after="0"/>
              <w:rPr>
                <w:sz w:val="20"/>
                <w:szCs w:val="20"/>
                <w:color w:val="auto"/>
              </w:rPr>
            </w:pPr>
          </w:p>
        </w:tc>
        <w:tc>
          <w:tcPr>
            <w:tcW w:w="300" w:type="dxa"/>
            <w:vAlign w:val="bottom"/>
            <w:tcBorders>
              <w:bottom w:val="single" w:sz="8" w:color="auto"/>
            </w:tcBorders>
            <w:shd w:val="clear" w:color="auto" w:fill="DBDBDB"/>
          </w:tcPr>
          <w:p>
            <w:pPr>
              <w:jc w:val="right"/>
              <w:ind w:right="99"/>
              <w:spacing w:after="0"/>
              <w:rPr>
                <w:sz w:val="20"/>
                <w:szCs w:val="20"/>
                <w:color w:val="auto"/>
              </w:rPr>
            </w:pPr>
            <w:r>
              <w:rPr>
                <w:rFonts w:ascii="Arial" w:cs="Arial" w:eastAsia="Arial" w:hAnsi="Arial"/>
                <w:sz w:val="16"/>
                <w:szCs w:val="16"/>
                <w:color w:val="auto"/>
              </w:rPr>
              <w:t>$</w:t>
            </w:r>
          </w:p>
        </w:tc>
        <w:tc>
          <w:tcPr>
            <w:tcW w:w="2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4,409</w:t>
            </w:r>
          </w:p>
        </w:tc>
      </w:tr>
      <w:tr>
        <w:trPr>
          <w:trHeight w:val="20"/>
        </w:trPr>
        <w:tc>
          <w:tcPr>
            <w:tcW w:w="622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21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00" w:type="dxa"/>
            <w:vAlign w:val="bottom"/>
            <w:tcBorders>
              <w:top w:val="single" w:sz="8" w:color="DBDBDB"/>
              <w:bottom w:val="single" w:sz="8" w:color="auto"/>
            </w:tcBorders>
          </w:tcPr>
          <w:p>
            <w:pPr>
              <w:spacing w:after="0" w:line="20" w:lineRule="exact"/>
              <w:rPr>
                <w:sz w:val="1"/>
                <w:szCs w:val="1"/>
                <w:color w:val="auto"/>
              </w:rPr>
            </w:pPr>
          </w:p>
        </w:tc>
        <w:tc>
          <w:tcPr>
            <w:tcW w:w="2160" w:type="dxa"/>
            <w:vAlign w:val="bottom"/>
            <w:tcBorders>
              <w:top w:val="single" w:sz="8" w:color="DBDBDB"/>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440" w:right="339" w:bottom="1440" w:gutter="0" w:footer="0" w:header="0"/>
        </w:sectPr>
      </w:pPr>
    </w:p>
    <w:bookmarkStart w:id="17" w:name="page18"/>
    <w:bookmarkEnd w:id="17"/>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386C"/>
        </w:rPr>
        <w:t>RECONCILIATION OF NET INCOME TO ADJUSTED EBITDAX TRAILING TWELVE MONTHS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57607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Three Months</w:t>
            </w:r>
          </w:p>
        </w:tc>
        <w:tc>
          <w:tcPr>
            <w:tcW w:w="140" w:type="dxa"/>
            <w:vAlign w:val="bottom"/>
          </w:tcPr>
          <w:p>
            <w:pPr>
              <w:spacing w:after="0"/>
              <w:rPr>
                <w:sz w:val="16"/>
                <w:szCs w:val="16"/>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Three Months</w:t>
            </w:r>
          </w:p>
        </w:tc>
        <w:tc>
          <w:tcPr>
            <w:tcW w:w="120" w:type="dxa"/>
            <w:vAlign w:val="bottom"/>
          </w:tcPr>
          <w:p>
            <w:pPr>
              <w:spacing w:after="0"/>
              <w:rPr>
                <w:sz w:val="16"/>
                <w:szCs w:val="16"/>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Three Months</w:t>
            </w:r>
          </w:p>
        </w:tc>
        <w:tc>
          <w:tcPr>
            <w:tcW w:w="100" w:type="dxa"/>
            <w:vAlign w:val="bottom"/>
          </w:tcPr>
          <w:p>
            <w:pPr>
              <w:spacing w:after="0"/>
              <w:rPr>
                <w:sz w:val="16"/>
                <w:szCs w:val="16"/>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Three Months</w:t>
            </w:r>
          </w:p>
        </w:tc>
        <w:tc>
          <w:tcPr>
            <w:tcW w:w="160" w:type="dxa"/>
            <w:vAlign w:val="bottom"/>
          </w:tcPr>
          <w:p>
            <w:pPr>
              <w:spacing w:after="0"/>
              <w:rPr>
                <w:sz w:val="16"/>
                <w:szCs w:val="16"/>
                <w:color w:val="auto"/>
              </w:rPr>
            </w:pPr>
          </w:p>
        </w:tc>
        <w:tc>
          <w:tcPr>
            <w:tcW w:w="1380" w:type="dxa"/>
            <w:vAlign w:val="bottom"/>
            <w:vMerge w:val="restart"/>
          </w:tcPr>
          <w:p>
            <w:pPr>
              <w:jc w:val="center"/>
              <w:ind w:right="79"/>
              <w:spacing w:after="0"/>
              <w:rPr>
                <w:sz w:val="20"/>
                <w:szCs w:val="20"/>
                <w:color w:val="auto"/>
              </w:rPr>
            </w:pPr>
            <w:r>
              <w:rPr>
                <w:rFonts w:ascii="Arial" w:cs="Arial" w:eastAsia="Arial" w:hAnsi="Arial"/>
                <w:sz w:val="16"/>
                <w:szCs w:val="16"/>
                <w:b w:val="1"/>
                <w:bCs w:val="1"/>
                <w:color w:val="auto"/>
                <w:w w:val="98"/>
              </w:rPr>
              <w:t>Trailing Twelve</w:t>
            </w:r>
          </w:p>
        </w:tc>
        <w:tc>
          <w:tcPr>
            <w:tcW w:w="0" w:type="dxa"/>
            <w:vAlign w:val="bottom"/>
          </w:tcPr>
          <w:p>
            <w:pPr>
              <w:spacing w:after="0"/>
              <w:rPr>
                <w:sz w:val="1"/>
                <w:szCs w:val="1"/>
                <w:color w:val="auto"/>
              </w:rPr>
            </w:pPr>
          </w:p>
        </w:tc>
      </w:tr>
      <w:tr>
        <w:trPr>
          <w:trHeight w:val="162"/>
        </w:trPr>
        <w:tc>
          <w:tcPr>
            <w:tcW w:w="3000" w:type="dxa"/>
            <w:vAlign w:val="bottom"/>
          </w:tcPr>
          <w:p>
            <w:pPr>
              <w:spacing w:after="0"/>
              <w:rPr>
                <w:sz w:val="14"/>
                <w:szCs w:val="14"/>
                <w:color w:val="auto"/>
              </w:rPr>
            </w:pPr>
          </w:p>
        </w:tc>
        <w:tc>
          <w:tcPr>
            <w:tcW w:w="1660" w:type="dxa"/>
            <w:vAlign w:val="bottom"/>
            <w:gridSpan w:val="3"/>
          </w:tcPr>
          <w:p>
            <w:pPr>
              <w:jc w:val="center"/>
              <w:ind w:right="140"/>
              <w:spacing w:after="0" w:line="162" w:lineRule="exact"/>
              <w:rPr>
                <w:sz w:val="20"/>
                <w:szCs w:val="20"/>
                <w:color w:val="auto"/>
              </w:rPr>
            </w:pPr>
            <w:r>
              <w:rPr>
                <w:rFonts w:ascii="Arial" w:cs="Arial" w:eastAsia="Arial" w:hAnsi="Arial"/>
                <w:sz w:val="16"/>
                <w:szCs w:val="16"/>
                <w:b w:val="1"/>
                <w:bCs w:val="1"/>
                <w:color w:val="auto"/>
                <w:w w:val="99"/>
              </w:rPr>
              <w:t>Ended September</w:t>
            </w:r>
          </w:p>
        </w:tc>
        <w:tc>
          <w:tcPr>
            <w:tcW w:w="140" w:type="dxa"/>
            <w:vAlign w:val="bottom"/>
          </w:tcPr>
          <w:p>
            <w:pPr>
              <w:spacing w:after="0"/>
              <w:rPr>
                <w:sz w:val="14"/>
                <w:szCs w:val="14"/>
                <w:color w:val="auto"/>
              </w:rPr>
            </w:pPr>
          </w:p>
        </w:tc>
        <w:tc>
          <w:tcPr>
            <w:tcW w:w="154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rPr>
              <w:t>Ended June 30,</w:t>
            </w:r>
          </w:p>
        </w:tc>
        <w:tc>
          <w:tcPr>
            <w:tcW w:w="120" w:type="dxa"/>
            <w:vAlign w:val="bottom"/>
          </w:tcPr>
          <w:p>
            <w:pPr>
              <w:spacing w:after="0"/>
              <w:rPr>
                <w:sz w:val="14"/>
                <w:szCs w:val="14"/>
                <w:color w:val="auto"/>
              </w:rPr>
            </w:pPr>
          </w:p>
        </w:tc>
        <w:tc>
          <w:tcPr>
            <w:tcW w:w="156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rPr>
              <w:t>Ended March 31,</w:t>
            </w:r>
          </w:p>
        </w:tc>
        <w:tc>
          <w:tcPr>
            <w:tcW w:w="100" w:type="dxa"/>
            <w:vAlign w:val="bottom"/>
          </w:tcPr>
          <w:p>
            <w:pPr>
              <w:spacing w:after="0"/>
              <w:rPr>
                <w:sz w:val="14"/>
                <w:szCs w:val="14"/>
                <w:color w:val="auto"/>
              </w:rPr>
            </w:pPr>
          </w:p>
        </w:tc>
        <w:tc>
          <w:tcPr>
            <w:tcW w:w="158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rPr>
              <w:t>Ended December</w:t>
            </w:r>
          </w:p>
        </w:tc>
        <w:tc>
          <w:tcPr>
            <w:tcW w:w="16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00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 in millions)</w:t>
            </w: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30, 2026</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2026</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2026</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99"/>
              </w:rPr>
              <w:t>31, 2025</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Months</w:t>
            </w:r>
          </w:p>
        </w:tc>
        <w:tc>
          <w:tcPr>
            <w:tcW w:w="0" w:type="dxa"/>
            <w:vAlign w:val="bottom"/>
          </w:tcPr>
          <w:p>
            <w:pPr>
              <w:spacing w:after="0"/>
              <w:rPr>
                <w:sz w:val="1"/>
                <w:szCs w:val="1"/>
                <w:color w:val="auto"/>
              </w:rPr>
            </w:pPr>
          </w:p>
        </w:tc>
      </w:tr>
      <w:tr>
        <w:trPr>
          <w:trHeight w:val="195"/>
        </w:trPr>
        <w:tc>
          <w:tcPr>
            <w:tcW w:w="30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000" w:type="dxa"/>
            <w:vAlign w:val="bottom"/>
            <w:shd w:val="clear" w:color="auto" w:fill="D9D9D9"/>
          </w:tcPr>
          <w:p>
            <w:pPr>
              <w:ind w:left="20"/>
              <w:spacing w:after="0"/>
              <w:rPr>
                <w:sz w:val="20"/>
                <w:szCs w:val="20"/>
                <w:color w:val="auto"/>
              </w:rPr>
            </w:pPr>
            <w:r>
              <w:rPr>
                <w:rFonts w:ascii="Arial" w:cs="Arial" w:eastAsia="Arial" w:hAnsi="Arial"/>
                <w:sz w:val="16"/>
                <w:szCs w:val="16"/>
                <w:b w:val="1"/>
                <w:bCs w:val="1"/>
                <w:color w:val="auto"/>
              </w:rPr>
              <w:t>Net income (GAAP)</w:t>
            </w:r>
          </w:p>
        </w:tc>
        <w:tc>
          <w:tcPr>
            <w:tcW w:w="160" w:type="dxa"/>
            <w:vAlign w:val="bottom"/>
            <w:shd w:val="clear" w:color="auto" w:fill="D9D9D9"/>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D9D9D9"/>
          </w:tcPr>
          <w:p>
            <w:pPr>
              <w:jc w:val="right"/>
              <w:spacing w:after="0"/>
              <w:rPr>
                <w:sz w:val="20"/>
                <w:szCs w:val="20"/>
                <w:color w:val="auto"/>
              </w:rPr>
            </w:pPr>
            <w:r>
              <w:rPr>
                <w:rFonts w:ascii="Arial" w:cs="Arial" w:eastAsia="Arial" w:hAnsi="Arial"/>
                <w:sz w:val="16"/>
                <w:szCs w:val="16"/>
                <w:color w:val="auto"/>
              </w:rPr>
              <w:t>519</w:t>
            </w:r>
          </w:p>
        </w:tc>
        <w:tc>
          <w:tcPr>
            <w:tcW w:w="120" w:type="dxa"/>
            <w:vAlign w:val="bottom"/>
            <w:shd w:val="clear" w:color="auto" w:fill="D9D9D9"/>
          </w:tcPr>
          <w:p>
            <w:pPr>
              <w:spacing w:after="0"/>
              <w:rPr>
                <w:sz w:val="18"/>
                <w:szCs w:val="18"/>
                <w:color w:val="auto"/>
              </w:rPr>
            </w:pPr>
          </w:p>
        </w:tc>
        <w:tc>
          <w:tcPr>
            <w:tcW w:w="140" w:type="dxa"/>
            <w:vAlign w:val="bottom"/>
            <w:shd w:val="clear" w:color="auto" w:fill="D9D9D9"/>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D9D9D9"/>
          </w:tcPr>
          <w:p>
            <w:pPr>
              <w:jc w:val="right"/>
              <w:spacing w:after="0"/>
              <w:rPr>
                <w:sz w:val="20"/>
                <w:szCs w:val="20"/>
                <w:color w:val="auto"/>
              </w:rPr>
            </w:pPr>
            <w:r>
              <w:rPr>
                <w:rFonts w:ascii="Arial" w:cs="Arial" w:eastAsia="Arial" w:hAnsi="Arial"/>
                <w:sz w:val="16"/>
                <w:szCs w:val="16"/>
                <w:color w:val="auto"/>
              </w:rPr>
              <w:t>522</w:t>
            </w:r>
          </w:p>
        </w:tc>
        <w:tc>
          <w:tcPr>
            <w:tcW w:w="140" w:type="dxa"/>
            <w:vAlign w:val="bottom"/>
            <w:shd w:val="clear" w:color="auto" w:fill="D9D9D9"/>
          </w:tcPr>
          <w:p>
            <w:pPr>
              <w:spacing w:after="0"/>
              <w:rPr>
                <w:sz w:val="18"/>
                <w:szCs w:val="18"/>
                <w:color w:val="auto"/>
              </w:rPr>
            </w:pPr>
          </w:p>
        </w:tc>
        <w:tc>
          <w:tcPr>
            <w:tcW w:w="120" w:type="dxa"/>
            <w:vAlign w:val="bottom"/>
            <w:shd w:val="clear" w:color="auto" w:fill="D9D9D9"/>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D9D9D9"/>
          </w:tcPr>
          <w:p>
            <w:pPr>
              <w:jc w:val="right"/>
              <w:spacing w:after="0"/>
              <w:rPr>
                <w:sz w:val="20"/>
                <w:szCs w:val="20"/>
                <w:color w:val="auto"/>
              </w:rPr>
            </w:pPr>
            <w:r>
              <w:rPr>
                <w:rFonts w:ascii="Arial" w:cs="Arial" w:eastAsia="Arial" w:hAnsi="Arial"/>
                <w:sz w:val="16"/>
                <w:szCs w:val="16"/>
                <w:color w:val="auto"/>
              </w:rPr>
              <w:t>1,159</w:t>
            </w:r>
          </w:p>
        </w:tc>
        <w:tc>
          <w:tcPr>
            <w:tcW w:w="140" w:type="dxa"/>
            <w:vAlign w:val="bottom"/>
            <w:shd w:val="clear" w:color="auto" w:fill="D9D9D9"/>
          </w:tcPr>
          <w:p>
            <w:pPr>
              <w:spacing w:after="0"/>
              <w:rPr>
                <w:sz w:val="18"/>
                <w:szCs w:val="18"/>
                <w:color w:val="auto"/>
              </w:rPr>
            </w:pPr>
          </w:p>
        </w:tc>
        <w:tc>
          <w:tcPr>
            <w:tcW w:w="100" w:type="dxa"/>
            <w:vAlign w:val="bottom"/>
            <w:shd w:val="clear" w:color="auto" w:fill="D9D9D9"/>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D9D9D9"/>
          </w:tcPr>
          <w:p>
            <w:pPr>
              <w:jc w:val="right"/>
              <w:spacing w:after="0"/>
              <w:rPr>
                <w:sz w:val="20"/>
                <w:szCs w:val="20"/>
                <w:color w:val="auto"/>
              </w:rPr>
            </w:pPr>
            <w:r>
              <w:rPr>
                <w:rFonts w:ascii="Arial" w:cs="Arial" w:eastAsia="Arial" w:hAnsi="Arial"/>
                <w:sz w:val="16"/>
                <w:szCs w:val="16"/>
                <w:color w:val="auto"/>
              </w:rPr>
              <w:t>553</w:t>
            </w:r>
          </w:p>
        </w:tc>
        <w:tc>
          <w:tcPr>
            <w:tcW w:w="140" w:type="dxa"/>
            <w:vAlign w:val="bottom"/>
            <w:shd w:val="clear" w:color="auto" w:fill="D9D9D9"/>
          </w:tcPr>
          <w:p>
            <w:pPr>
              <w:spacing w:after="0"/>
              <w:rPr>
                <w:sz w:val="18"/>
                <w:szCs w:val="18"/>
                <w:color w:val="auto"/>
              </w:rPr>
            </w:pPr>
          </w:p>
        </w:tc>
        <w:tc>
          <w:tcPr>
            <w:tcW w:w="160" w:type="dxa"/>
            <w:vAlign w:val="bottom"/>
            <w:shd w:val="clear" w:color="auto" w:fill="D9D9D9"/>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D9D9D9"/>
          </w:tcPr>
          <w:p>
            <w:pPr>
              <w:jc w:val="right"/>
              <w:spacing w:after="0"/>
              <w:rPr>
                <w:sz w:val="20"/>
                <w:szCs w:val="20"/>
                <w:color w:val="auto"/>
              </w:rPr>
            </w:pPr>
            <w:r>
              <w:rPr>
                <w:rFonts w:ascii="Arial" w:cs="Arial" w:eastAsia="Arial" w:hAnsi="Arial"/>
                <w:sz w:val="16"/>
                <w:szCs w:val="16"/>
                <w:color w:val="auto"/>
              </w:rPr>
              <w:t>2,753</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39"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Interest expense</w:t>
      </w:r>
    </w:p>
    <w:p>
      <w:pPr>
        <w:spacing w:after="0" w:line="25"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Income tax expense</w:t>
      </w:r>
    </w:p>
    <w:p>
      <w:pPr>
        <w:spacing w:after="0" w:line="2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Depreciation, depletion and</w:t>
      </w:r>
    </w:p>
    <w:p>
      <w:pPr>
        <w:ind w:left="240"/>
        <w:spacing w:after="0"/>
        <w:rPr>
          <w:sz w:val="20"/>
          <w:szCs w:val="20"/>
          <w:color w:val="auto"/>
        </w:rPr>
      </w:pPr>
      <w:r>
        <w:rPr>
          <w:rFonts w:ascii="Arial" w:cs="Arial" w:eastAsia="Arial" w:hAnsi="Arial"/>
          <w:sz w:val="16"/>
          <w:szCs w:val="16"/>
          <w:color w:val="auto"/>
        </w:rPr>
        <w:t>amortization</w:t>
      </w:r>
    </w:p>
    <w:p>
      <w:pPr>
        <w:spacing w:after="0" w:line="1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Exploration</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Unrealized gains on derivatives</w:t>
      </w:r>
    </w:p>
    <w:p>
      <w:pPr>
        <w:spacing w:after="0" w:line="32" w:lineRule="exact"/>
        <w:rPr>
          <w:sz w:val="20"/>
          <w:szCs w:val="20"/>
          <w:color w:val="auto"/>
        </w:rPr>
      </w:pPr>
    </w:p>
    <w:p>
      <w:pPr>
        <w:ind w:left="240" w:right="800"/>
        <w:spacing w:after="0" w:line="246" w:lineRule="auto"/>
        <w:rPr>
          <w:sz w:val="20"/>
          <w:szCs w:val="20"/>
          <w:color w:val="auto"/>
        </w:rPr>
      </w:pPr>
      <w:r>
        <w:rPr>
          <w:rFonts w:ascii="Arial" w:cs="Arial" w:eastAsia="Arial" w:hAnsi="Arial"/>
          <w:sz w:val="16"/>
          <w:szCs w:val="16"/>
          <w:color w:val="auto"/>
        </w:rPr>
        <w:t>Separation and other termination costs</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(Gains) losses on sales of assets</w:t>
      </w:r>
    </w:p>
    <w:p>
      <w:pPr>
        <w:spacing w:after="0" w:line="32" w:lineRule="exact"/>
        <w:rPr>
          <w:sz w:val="20"/>
          <w:szCs w:val="20"/>
          <w:color w:val="auto"/>
        </w:rPr>
      </w:pPr>
    </w:p>
    <w:p>
      <w:pPr>
        <w:ind w:left="240" w:right="660"/>
        <w:spacing w:after="0" w:line="246" w:lineRule="auto"/>
        <w:rPr>
          <w:sz w:val="20"/>
          <w:szCs w:val="20"/>
          <w:color w:val="auto"/>
        </w:rPr>
      </w:pPr>
      <w:r>
        <w:rPr>
          <w:rFonts w:ascii="Arial" w:cs="Arial" w:eastAsia="Arial" w:hAnsi="Arial"/>
          <w:sz w:val="16"/>
          <w:szCs w:val="16"/>
          <w:color w:val="auto"/>
        </w:rPr>
        <w:t>Other operating expense (income), net</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Impairments</w:t>
      </w:r>
    </w:p>
    <w:p>
      <w:pPr>
        <w:spacing w:after="0" w:line="32" w:lineRule="exact"/>
        <w:rPr>
          <w:sz w:val="20"/>
          <w:szCs w:val="20"/>
          <w:color w:val="auto"/>
        </w:rPr>
      </w:pPr>
    </w:p>
    <w:p>
      <w:pPr>
        <w:ind w:left="240" w:right="660"/>
        <w:spacing w:after="0" w:line="246" w:lineRule="auto"/>
        <w:rPr>
          <w:sz w:val="20"/>
          <w:szCs w:val="20"/>
          <w:color w:val="auto"/>
        </w:rPr>
      </w:pPr>
      <w:r>
        <w:rPr>
          <w:rFonts w:ascii="Arial" w:cs="Arial" w:eastAsia="Arial" w:hAnsi="Arial"/>
          <w:sz w:val="16"/>
          <w:szCs w:val="16"/>
          <w:color w:val="auto"/>
        </w:rPr>
        <w:t>Gains on purchases, exchanges or extinguishments of debt</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9"/>
        </w:trPr>
        <w:tc>
          <w:tcPr>
            <w:tcW w:w="1040" w:type="dxa"/>
            <w:vAlign w:val="bottom"/>
          </w:tcPr>
          <w:p>
            <w:pPr>
              <w:jc w:val="right"/>
              <w:ind w:right="619"/>
              <w:spacing w:after="0"/>
              <w:rPr>
                <w:sz w:val="20"/>
                <w:szCs w:val="20"/>
                <w:color w:val="auto"/>
              </w:rPr>
            </w:pPr>
            <w:r>
              <w:rPr>
                <w:rFonts w:ascii="Arial" w:cs="Arial" w:eastAsia="Arial" w:hAnsi="Arial"/>
                <w:sz w:val="16"/>
                <w:szCs w:val="16"/>
                <w:color w:val="auto"/>
              </w:rPr>
              <w:t>44</w:t>
            </w:r>
          </w:p>
        </w:tc>
        <w:tc>
          <w:tcPr>
            <w:tcW w:w="1660" w:type="dxa"/>
            <w:vAlign w:val="bottom"/>
          </w:tcPr>
          <w:p>
            <w:pPr>
              <w:jc w:val="right"/>
              <w:ind w:right="599"/>
              <w:spacing w:after="0"/>
              <w:rPr>
                <w:sz w:val="20"/>
                <w:szCs w:val="20"/>
                <w:color w:val="auto"/>
              </w:rPr>
            </w:pPr>
            <w:r>
              <w:rPr>
                <w:rFonts w:ascii="Arial" w:cs="Arial" w:eastAsia="Arial" w:hAnsi="Arial"/>
                <w:sz w:val="16"/>
                <w:szCs w:val="16"/>
                <w:color w:val="auto"/>
              </w:rPr>
              <w:t>43</w:t>
            </w:r>
          </w:p>
        </w:tc>
        <w:tc>
          <w:tcPr>
            <w:tcW w:w="1680" w:type="dxa"/>
            <w:vAlign w:val="bottom"/>
          </w:tcPr>
          <w:p>
            <w:pPr>
              <w:jc w:val="right"/>
              <w:ind w:right="619"/>
              <w:spacing w:after="0"/>
              <w:rPr>
                <w:sz w:val="20"/>
                <w:szCs w:val="20"/>
                <w:color w:val="auto"/>
              </w:rPr>
            </w:pPr>
            <w:r>
              <w:rPr>
                <w:rFonts w:ascii="Arial" w:cs="Arial" w:eastAsia="Arial" w:hAnsi="Arial"/>
                <w:sz w:val="16"/>
                <w:szCs w:val="16"/>
                <w:color w:val="auto"/>
              </w:rPr>
              <w:t>59</w:t>
            </w:r>
          </w:p>
        </w:tc>
        <w:tc>
          <w:tcPr>
            <w:tcW w:w="1660" w:type="dxa"/>
            <w:vAlign w:val="bottom"/>
          </w:tcPr>
          <w:p>
            <w:pPr>
              <w:jc w:val="right"/>
              <w:ind w:right="579"/>
              <w:spacing w:after="0"/>
              <w:rPr>
                <w:sz w:val="20"/>
                <w:szCs w:val="20"/>
                <w:color w:val="auto"/>
              </w:rPr>
            </w:pPr>
            <w:r>
              <w:rPr>
                <w:rFonts w:ascii="Arial" w:cs="Arial" w:eastAsia="Arial" w:hAnsi="Arial"/>
                <w:sz w:val="16"/>
                <w:szCs w:val="16"/>
                <w:color w:val="auto"/>
              </w:rPr>
              <w:t>59</w:t>
            </w:r>
          </w:p>
        </w:tc>
        <w:tc>
          <w:tcPr>
            <w:tcW w:w="1060" w:type="dxa"/>
            <w:vAlign w:val="bottom"/>
          </w:tcPr>
          <w:p>
            <w:pPr>
              <w:jc w:val="right"/>
              <w:spacing w:after="0"/>
              <w:rPr>
                <w:sz w:val="20"/>
                <w:szCs w:val="20"/>
                <w:color w:val="auto"/>
              </w:rPr>
            </w:pPr>
            <w:r>
              <w:rPr>
                <w:rFonts w:ascii="Arial" w:cs="Arial" w:eastAsia="Arial" w:hAnsi="Arial"/>
                <w:sz w:val="16"/>
                <w:szCs w:val="16"/>
                <w:color w:val="auto"/>
              </w:rPr>
              <w:t>205</w:t>
            </w:r>
          </w:p>
        </w:tc>
      </w:tr>
      <w:tr>
        <w:trPr>
          <w:trHeight w:val="215"/>
        </w:trPr>
        <w:tc>
          <w:tcPr>
            <w:tcW w:w="1040" w:type="dxa"/>
            <w:vAlign w:val="bottom"/>
          </w:tcPr>
          <w:p>
            <w:pPr>
              <w:jc w:val="right"/>
              <w:ind w:right="619"/>
              <w:spacing w:after="0"/>
              <w:rPr>
                <w:sz w:val="20"/>
                <w:szCs w:val="20"/>
                <w:color w:val="auto"/>
              </w:rPr>
            </w:pPr>
            <w:r>
              <w:rPr>
                <w:rFonts w:ascii="Arial" w:cs="Arial" w:eastAsia="Arial" w:hAnsi="Arial"/>
                <w:sz w:val="16"/>
                <w:szCs w:val="16"/>
                <w:color w:val="auto"/>
              </w:rPr>
              <w:t>89</w:t>
            </w:r>
          </w:p>
        </w:tc>
        <w:tc>
          <w:tcPr>
            <w:tcW w:w="1660" w:type="dxa"/>
            <w:vAlign w:val="bottom"/>
          </w:tcPr>
          <w:p>
            <w:pPr>
              <w:jc w:val="right"/>
              <w:ind w:right="599"/>
              <w:spacing w:after="0"/>
              <w:rPr>
                <w:sz w:val="20"/>
                <w:szCs w:val="20"/>
                <w:color w:val="auto"/>
              </w:rPr>
            </w:pPr>
            <w:r>
              <w:rPr>
                <w:rFonts w:ascii="Arial" w:cs="Arial" w:eastAsia="Arial" w:hAnsi="Arial"/>
                <w:sz w:val="16"/>
                <w:szCs w:val="16"/>
                <w:color w:val="auto"/>
              </w:rPr>
              <w:t>150</w:t>
            </w:r>
          </w:p>
        </w:tc>
        <w:tc>
          <w:tcPr>
            <w:tcW w:w="1680" w:type="dxa"/>
            <w:vAlign w:val="bottom"/>
          </w:tcPr>
          <w:p>
            <w:pPr>
              <w:jc w:val="right"/>
              <w:ind w:right="619"/>
              <w:spacing w:after="0"/>
              <w:rPr>
                <w:sz w:val="20"/>
                <w:szCs w:val="20"/>
                <w:color w:val="auto"/>
              </w:rPr>
            </w:pPr>
            <w:r>
              <w:rPr>
                <w:rFonts w:ascii="Arial" w:cs="Arial" w:eastAsia="Arial" w:hAnsi="Arial"/>
                <w:sz w:val="16"/>
                <w:szCs w:val="16"/>
                <w:color w:val="auto"/>
              </w:rPr>
              <w:t>330</w:t>
            </w:r>
          </w:p>
        </w:tc>
        <w:tc>
          <w:tcPr>
            <w:tcW w:w="1660" w:type="dxa"/>
            <w:vAlign w:val="bottom"/>
          </w:tcPr>
          <w:p>
            <w:pPr>
              <w:jc w:val="right"/>
              <w:ind w:right="579"/>
              <w:spacing w:after="0"/>
              <w:rPr>
                <w:sz w:val="20"/>
                <w:szCs w:val="20"/>
                <w:color w:val="auto"/>
              </w:rPr>
            </w:pPr>
            <w:r>
              <w:rPr>
                <w:rFonts w:ascii="Arial" w:cs="Arial" w:eastAsia="Arial" w:hAnsi="Arial"/>
                <w:sz w:val="16"/>
                <w:szCs w:val="16"/>
                <w:color w:val="auto"/>
              </w:rPr>
              <w:t>134</w:t>
            </w:r>
          </w:p>
        </w:tc>
        <w:tc>
          <w:tcPr>
            <w:tcW w:w="1060" w:type="dxa"/>
            <w:vAlign w:val="bottom"/>
          </w:tcPr>
          <w:p>
            <w:pPr>
              <w:jc w:val="right"/>
              <w:spacing w:after="0"/>
              <w:rPr>
                <w:sz w:val="20"/>
                <w:szCs w:val="20"/>
                <w:color w:val="auto"/>
              </w:rPr>
            </w:pPr>
            <w:r>
              <w:rPr>
                <w:rFonts w:ascii="Arial" w:cs="Arial" w:eastAsia="Arial" w:hAnsi="Arial"/>
                <w:sz w:val="16"/>
                <w:szCs w:val="16"/>
                <w:color w:val="auto"/>
              </w:rPr>
              <w:t>703</w:t>
            </w:r>
          </w:p>
        </w:tc>
      </w:tr>
      <w:tr>
        <w:trPr>
          <w:trHeight w:val="297"/>
        </w:trPr>
        <w:tc>
          <w:tcPr>
            <w:tcW w:w="1040" w:type="dxa"/>
            <w:vAlign w:val="bottom"/>
          </w:tcPr>
          <w:p>
            <w:pPr>
              <w:jc w:val="right"/>
              <w:ind w:right="619"/>
              <w:spacing w:after="0"/>
              <w:rPr>
                <w:sz w:val="20"/>
                <w:szCs w:val="20"/>
                <w:color w:val="auto"/>
              </w:rPr>
            </w:pPr>
            <w:r>
              <w:rPr>
                <w:rFonts w:ascii="Arial" w:cs="Arial" w:eastAsia="Arial" w:hAnsi="Arial"/>
                <w:sz w:val="16"/>
                <w:szCs w:val="16"/>
                <w:color w:val="auto"/>
              </w:rPr>
              <w:t>750</w:t>
            </w:r>
          </w:p>
        </w:tc>
        <w:tc>
          <w:tcPr>
            <w:tcW w:w="1660" w:type="dxa"/>
            <w:vAlign w:val="bottom"/>
          </w:tcPr>
          <w:p>
            <w:pPr>
              <w:jc w:val="right"/>
              <w:ind w:right="599"/>
              <w:spacing w:after="0"/>
              <w:rPr>
                <w:sz w:val="20"/>
                <w:szCs w:val="20"/>
                <w:color w:val="auto"/>
              </w:rPr>
            </w:pPr>
            <w:r>
              <w:rPr>
                <w:rFonts w:ascii="Arial" w:cs="Arial" w:eastAsia="Arial" w:hAnsi="Arial"/>
                <w:sz w:val="16"/>
                <w:szCs w:val="16"/>
                <w:color w:val="auto"/>
              </w:rPr>
              <w:t>722</w:t>
            </w:r>
          </w:p>
        </w:tc>
        <w:tc>
          <w:tcPr>
            <w:tcW w:w="1680" w:type="dxa"/>
            <w:vAlign w:val="bottom"/>
          </w:tcPr>
          <w:p>
            <w:pPr>
              <w:jc w:val="right"/>
              <w:ind w:right="619"/>
              <w:spacing w:after="0"/>
              <w:rPr>
                <w:sz w:val="20"/>
                <w:szCs w:val="20"/>
                <w:color w:val="auto"/>
              </w:rPr>
            </w:pPr>
            <w:r>
              <w:rPr>
                <w:rFonts w:ascii="Arial" w:cs="Arial" w:eastAsia="Arial" w:hAnsi="Arial"/>
                <w:sz w:val="16"/>
                <w:szCs w:val="16"/>
                <w:color w:val="auto"/>
              </w:rPr>
              <w:t>711</w:t>
            </w:r>
          </w:p>
        </w:tc>
        <w:tc>
          <w:tcPr>
            <w:tcW w:w="1660" w:type="dxa"/>
            <w:vAlign w:val="bottom"/>
          </w:tcPr>
          <w:p>
            <w:pPr>
              <w:jc w:val="right"/>
              <w:ind w:right="579"/>
              <w:spacing w:after="0"/>
              <w:rPr>
                <w:sz w:val="20"/>
                <w:szCs w:val="20"/>
                <w:color w:val="auto"/>
              </w:rPr>
            </w:pPr>
            <w:r>
              <w:rPr>
                <w:rFonts w:ascii="Arial" w:cs="Arial" w:eastAsia="Arial" w:hAnsi="Arial"/>
                <w:sz w:val="16"/>
                <w:szCs w:val="16"/>
                <w:color w:val="auto"/>
              </w:rPr>
              <w:t>759</w:t>
            </w:r>
          </w:p>
        </w:tc>
        <w:tc>
          <w:tcPr>
            <w:tcW w:w="1060" w:type="dxa"/>
            <w:vAlign w:val="bottom"/>
          </w:tcPr>
          <w:p>
            <w:pPr>
              <w:jc w:val="right"/>
              <w:spacing w:after="0"/>
              <w:rPr>
                <w:sz w:val="20"/>
                <w:szCs w:val="20"/>
                <w:color w:val="auto"/>
              </w:rPr>
            </w:pPr>
            <w:r>
              <w:rPr>
                <w:rFonts w:ascii="Arial" w:cs="Arial" w:eastAsia="Arial" w:hAnsi="Arial"/>
                <w:sz w:val="16"/>
                <w:szCs w:val="16"/>
                <w:color w:val="auto"/>
              </w:rPr>
              <w:t>2,942</w:t>
            </w:r>
          </w:p>
        </w:tc>
      </w:tr>
      <w:tr>
        <w:trPr>
          <w:trHeight w:val="297"/>
        </w:trPr>
        <w:tc>
          <w:tcPr>
            <w:tcW w:w="1040" w:type="dxa"/>
            <w:vAlign w:val="bottom"/>
          </w:tcPr>
          <w:p>
            <w:pPr>
              <w:jc w:val="right"/>
              <w:ind w:right="619"/>
              <w:spacing w:after="0"/>
              <w:rPr>
                <w:sz w:val="20"/>
                <w:szCs w:val="20"/>
                <w:color w:val="auto"/>
              </w:rPr>
            </w:pPr>
            <w:r>
              <w:rPr>
                <w:rFonts w:ascii="Arial" w:cs="Arial" w:eastAsia="Arial" w:hAnsi="Arial"/>
                <w:sz w:val="16"/>
                <w:szCs w:val="16"/>
                <w:color w:val="auto"/>
              </w:rPr>
              <w:t>19</w:t>
            </w:r>
          </w:p>
        </w:tc>
        <w:tc>
          <w:tcPr>
            <w:tcW w:w="1660" w:type="dxa"/>
            <w:vAlign w:val="bottom"/>
          </w:tcPr>
          <w:p>
            <w:pPr>
              <w:jc w:val="right"/>
              <w:ind w:right="599"/>
              <w:spacing w:after="0"/>
              <w:rPr>
                <w:sz w:val="20"/>
                <w:szCs w:val="20"/>
                <w:color w:val="auto"/>
              </w:rPr>
            </w:pPr>
            <w:r>
              <w:rPr>
                <w:rFonts w:ascii="Arial" w:cs="Arial" w:eastAsia="Arial" w:hAnsi="Arial"/>
                <w:sz w:val="16"/>
                <w:szCs w:val="16"/>
                <w:color w:val="auto"/>
              </w:rPr>
              <w:t>16</w:t>
            </w:r>
          </w:p>
        </w:tc>
        <w:tc>
          <w:tcPr>
            <w:tcW w:w="1680" w:type="dxa"/>
            <w:vAlign w:val="bottom"/>
          </w:tcPr>
          <w:p>
            <w:pPr>
              <w:jc w:val="right"/>
              <w:ind w:right="619"/>
              <w:spacing w:after="0"/>
              <w:rPr>
                <w:sz w:val="20"/>
                <w:szCs w:val="20"/>
                <w:color w:val="auto"/>
              </w:rPr>
            </w:pPr>
            <w:r>
              <w:rPr>
                <w:rFonts w:ascii="Arial" w:cs="Arial" w:eastAsia="Arial" w:hAnsi="Arial"/>
                <w:sz w:val="16"/>
                <w:szCs w:val="16"/>
                <w:color w:val="auto"/>
              </w:rPr>
              <w:t>14</w:t>
            </w:r>
          </w:p>
        </w:tc>
        <w:tc>
          <w:tcPr>
            <w:tcW w:w="1660" w:type="dxa"/>
            <w:vAlign w:val="bottom"/>
          </w:tcPr>
          <w:p>
            <w:pPr>
              <w:jc w:val="right"/>
              <w:ind w:right="579"/>
              <w:spacing w:after="0"/>
              <w:rPr>
                <w:sz w:val="20"/>
                <w:szCs w:val="20"/>
                <w:color w:val="auto"/>
              </w:rPr>
            </w:pPr>
            <w:r>
              <w:rPr>
                <w:rFonts w:ascii="Arial" w:cs="Arial" w:eastAsia="Arial" w:hAnsi="Arial"/>
                <w:sz w:val="16"/>
                <w:szCs w:val="16"/>
                <w:color w:val="auto"/>
              </w:rPr>
              <w:t>16</w:t>
            </w:r>
          </w:p>
        </w:tc>
        <w:tc>
          <w:tcPr>
            <w:tcW w:w="1060" w:type="dxa"/>
            <w:vAlign w:val="bottom"/>
          </w:tcPr>
          <w:p>
            <w:pPr>
              <w:jc w:val="right"/>
              <w:spacing w:after="0"/>
              <w:rPr>
                <w:sz w:val="20"/>
                <w:szCs w:val="20"/>
                <w:color w:val="auto"/>
              </w:rPr>
            </w:pPr>
            <w:r>
              <w:rPr>
                <w:rFonts w:ascii="Arial" w:cs="Arial" w:eastAsia="Arial" w:hAnsi="Arial"/>
                <w:sz w:val="16"/>
                <w:szCs w:val="16"/>
                <w:color w:val="auto"/>
              </w:rPr>
              <w:t>65</w:t>
            </w:r>
          </w:p>
        </w:tc>
      </w:tr>
      <w:tr>
        <w:trPr>
          <w:trHeight w:val="216"/>
        </w:trPr>
        <w:tc>
          <w:tcPr>
            <w:tcW w:w="1040" w:type="dxa"/>
            <w:vAlign w:val="bottom"/>
          </w:tcPr>
          <w:p>
            <w:pPr>
              <w:jc w:val="right"/>
              <w:ind w:right="579"/>
              <w:spacing w:after="0"/>
              <w:rPr>
                <w:sz w:val="20"/>
                <w:szCs w:val="20"/>
                <w:color w:val="auto"/>
              </w:rPr>
            </w:pPr>
            <w:r>
              <w:rPr>
                <w:rFonts w:ascii="Arial" w:cs="Arial" w:eastAsia="Arial" w:hAnsi="Arial"/>
                <w:sz w:val="16"/>
                <w:szCs w:val="16"/>
                <w:color w:val="auto"/>
                <w:w w:val="96"/>
              </w:rPr>
              <w:t>(153)</w:t>
            </w:r>
          </w:p>
        </w:tc>
        <w:tc>
          <w:tcPr>
            <w:tcW w:w="1660" w:type="dxa"/>
            <w:vAlign w:val="bottom"/>
          </w:tcPr>
          <w:p>
            <w:pPr>
              <w:jc w:val="right"/>
              <w:ind w:right="559"/>
              <w:spacing w:after="0"/>
              <w:rPr>
                <w:sz w:val="20"/>
                <w:szCs w:val="20"/>
                <w:color w:val="auto"/>
              </w:rPr>
            </w:pPr>
            <w:r>
              <w:rPr>
                <w:rFonts w:ascii="Arial" w:cs="Arial" w:eastAsia="Arial" w:hAnsi="Arial"/>
                <w:sz w:val="16"/>
                <w:szCs w:val="16"/>
                <w:color w:val="auto"/>
              </w:rPr>
              <w:t>(153)</w:t>
            </w:r>
          </w:p>
        </w:tc>
        <w:tc>
          <w:tcPr>
            <w:tcW w:w="1680" w:type="dxa"/>
            <w:vAlign w:val="bottom"/>
          </w:tcPr>
          <w:p>
            <w:pPr>
              <w:jc w:val="right"/>
              <w:ind w:right="559"/>
              <w:spacing w:after="0"/>
              <w:rPr>
                <w:sz w:val="20"/>
                <w:szCs w:val="20"/>
                <w:color w:val="auto"/>
              </w:rPr>
            </w:pPr>
            <w:r>
              <w:rPr>
                <w:rFonts w:ascii="Arial" w:cs="Arial" w:eastAsia="Arial" w:hAnsi="Arial"/>
                <w:sz w:val="16"/>
                <w:szCs w:val="16"/>
                <w:color w:val="auto"/>
              </w:rPr>
              <w:t>(279)</w:t>
            </w:r>
          </w:p>
        </w:tc>
        <w:tc>
          <w:tcPr>
            <w:tcW w:w="1660" w:type="dxa"/>
            <w:vAlign w:val="bottom"/>
          </w:tcPr>
          <w:p>
            <w:pPr>
              <w:jc w:val="right"/>
              <w:ind w:right="539"/>
              <w:spacing w:after="0"/>
              <w:rPr>
                <w:sz w:val="20"/>
                <w:szCs w:val="20"/>
                <w:color w:val="auto"/>
              </w:rPr>
            </w:pPr>
            <w:r>
              <w:rPr>
                <w:rFonts w:ascii="Arial" w:cs="Arial" w:eastAsia="Arial" w:hAnsi="Arial"/>
                <w:sz w:val="16"/>
                <w:szCs w:val="16"/>
                <w:color w:val="auto"/>
              </w:rPr>
              <w:t>(179)</w:t>
            </w:r>
          </w:p>
        </w:tc>
        <w:tc>
          <w:tcPr>
            <w:tcW w:w="1060" w:type="dxa"/>
            <w:vAlign w:val="bottom"/>
          </w:tcPr>
          <w:p>
            <w:pPr>
              <w:jc w:val="right"/>
              <w:spacing w:after="0"/>
              <w:rPr>
                <w:sz w:val="20"/>
                <w:szCs w:val="20"/>
                <w:color w:val="auto"/>
              </w:rPr>
            </w:pPr>
            <w:r>
              <w:rPr>
                <w:rFonts w:ascii="Arial" w:cs="Arial" w:eastAsia="Arial" w:hAnsi="Arial"/>
                <w:sz w:val="16"/>
                <w:szCs w:val="16"/>
                <w:color w:val="auto"/>
              </w:rPr>
              <w:t>(764)</w:t>
            </w:r>
          </w:p>
        </w:tc>
      </w:tr>
      <w:tr>
        <w:trPr>
          <w:trHeight w:val="297"/>
        </w:trPr>
        <w:tc>
          <w:tcPr>
            <w:tcW w:w="1040" w:type="dxa"/>
            <w:vAlign w:val="bottom"/>
          </w:tcPr>
          <w:p>
            <w:pPr>
              <w:jc w:val="right"/>
              <w:ind w:right="619"/>
              <w:spacing w:after="0"/>
              <w:rPr>
                <w:sz w:val="20"/>
                <w:szCs w:val="20"/>
                <w:color w:val="auto"/>
              </w:rPr>
            </w:pPr>
            <w:r>
              <w:rPr>
                <w:rFonts w:ascii="Arial" w:cs="Arial" w:eastAsia="Arial" w:hAnsi="Arial"/>
                <w:sz w:val="16"/>
                <w:szCs w:val="16"/>
                <w:color w:val="auto"/>
              </w:rPr>
              <w:t>3</w:t>
            </w:r>
          </w:p>
        </w:tc>
        <w:tc>
          <w:tcPr>
            <w:tcW w:w="1660" w:type="dxa"/>
            <w:vAlign w:val="bottom"/>
          </w:tcPr>
          <w:p>
            <w:pPr>
              <w:jc w:val="right"/>
              <w:ind w:right="599"/>
              <w:spacing w:after="0"/>
              <w:rPr>
                <w:sz w:val="20"/>
                <w:szCs w:val="20"/>
                <w:color w:val="auto"/>
              </w:rPr>
            </w:pPr>
            <w:r>
              <w:rPr>
                <w:rFonts w:ascii="Arial" w:cs="Arial" w:eastAsia="Arial" w:hAnsi="Arial"/>
                <w:sz w:val="16"/>
                <w:szCs w:val="16"/>
                <w:color w:val="auto"/>
              </w:rPr>
              <w:t>—</w:t>
            </w:r>
          </w:p>
        </w:tc>
        <w:tc>
          <w:tcPr>
            <w:tcW w:w="1680" w:type="dxa"/>
            <w:vAlign w:val="bottom"/>
          </w:tcPr>
          <w:p>
            <w:pPr>
              <w:jc w:val="right"/>
              <w:ind w:right="619"/>
              <w:spacing w:after="0"/>
              <w:rPr>
                <w:sz w:val="20"/>
                <w:szCs w:val="20"/>
                <w:color w:val="auto"/>
              </w:rPr>
            </w:pPr>
            <w:r>
              <w:rPr>
                <w:rFonts w:ascii="Arial" w:cs="Arial" w:eastAsia="Arial" w:hAnsi="Arial"/>
                <w:sz w:val="16"/>
                <w:szCs w:val="16"/>
                <w:color w:val="auto"/>
              </w:rPr>
              <w:t>9</w:t>
            </w:r>
          </w:p>
        </w:tc>
        <w:tc>
          <w:tcPr>
            <w:tcW w:w="1660" w:type="dxa"/>
            <w:vAlign w:val="bottom"/>
          </w:tcPr>
          <w:p>
            <w:pPr>
              <w:jc w:val="right"/>
              <w:ind w:right="57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97"/>
        </w:trPr>
        <w:tc>
          <w:tcPr>
            <w:tcW w:w="1040" w:type="dxa"/>
            <w:vAlign w:val="bottom"/>
          </w:tcPr>
          <w:p>
            <w:pPr>
              <w:jc w:val="right"/>
              <w:ind w:right="579"/>
              <w:spacing w:after="0"/>
              <w:rPr>
                <w:sz w:val="20"/>
                <w:szCs w:val="20"/>
                <w:color w:val="auto"/>
              </w:rPr>
            </w:pPr>
            <w:r>
              <w:rPr>
                <w:rFonts w:ascii="Arial" w:cs="Arial" w:eastAsia="Arial" w:hAnsi="Arial"/>
                <w:sz w:val="16"/>
                <w:szCs w:val="16"/>
                <w:color w:val="auto"/>
              </w:rPr>
              <w:t>(14)</w:t>
            </w:r>
          </w:p>
        </w:tc>
        <w:tc>
          <w:tcPr>
            <w:tcW w:w="1660" w:type="dxa"/>
            <w:vAlign w:val="bottom"/>
          </w:tcPr>
          <w:p>
            <w:pPr>
              <w:jc w:val="right"/>
              <w:ind w:right="599"/>
              <w:spacing w:after="0"/>
              <w:rPr>
                <w:sz w:val="20"/>
                <w:szCs w:val="20"/>
                <w:color w:val="auto"/>
              </w:rPr>
            </w:pPr>
            <w:r>
              <w:rPr>
                <w:rFonts w:ascii="Arial" w:cs="Arial" w:eastAsia="Arial" w:hAnsi="Arial"/>
                <w:sz w:val="16"/>
                <w:szCs w:val="16"/>
                <w:color w:val="auto"/>
              </w:rPr>
              <w:t>—</w:t>
            </w:r>
          </w:p>
        </w:tc>
        <w:tc>
          <w:tcPr>
            <w:tcW w:w="1680" w:type="dxa"/>
            <w:vAlign w:val="bottom"/>
          </w:tcPr>
          <w:p>
            <w:pPr>
              <w:jc w:val="right"/>
              <w:ind w:right="619"/>
              <w:spacing w:after="0"/>
              <w:rPr>
                <w:sz w:val="20"/>
                <w:szCs w:val="20"/>
                <w:color w:val="auto"/>
              </w:rPr>
            </w:pPr>
            <w:r>
              <w:rPr>
                <w:rFonts w:ascii="Arial" w:cs="Arial" w:eastAsia="Arial" w:hAnsi="Arial"/>
                <w:sz w:val="16"/>
                <w:szCs w:val="16"/>
                <w:color w:val="auto"/>
              </w:rPr>
              <w:t>1</w:t>
            </w:r>
          </w:p>
        </w:tc>
        <w:tc>
          <w:tcPr>
            <w:tcW w:w="1660" w:type="dxa"/>
            <w:vAlign w:val="bottom"/>
          </w:tcPr>
          <w:p>
            <w:pPr>
              <w:jc w:val="right"/>
              <w:ind w:right="579"/>
              <w:spacing w:after="0"/>
              <w:rPr>
                <w:sz w:val="20"/>
                <w:szCs w:val="20"/>
                <w:color w:val="auto"/>
              </w:rPr>
            </w:pPr>
            <w:r>
              <w:rPr>
                <w:rFonts w:ascii="Arial" w:cs="Arial" w:eastAsia="Arial" w:hAnsi="Arial"/>
                <w:sz w:val="16"/>
                <w:szCs w:val="16"/>
                <w:color w:val="auto"/>
              </w:rPr>
              <w:t>68</w:t>
            </w:r>
          </w:p>
        </w:tc>
        <w:tc>
          <w:tcPr>
            <w:tcW w:w="1060" w:type="dxa"/>
            <w:vAlign w:val="bottom"/>
          </w:tcPr>
          <w:p>
            <w:pPr>
              <w:jc w:val="right"/>
              <w:spacing w:after="0"/>
              <w:rPr>
                <w:sz w:val="20"/>
                <w:szCs w:val="20"/>
                <w:color w:val="auto"/>
              </w:rPr>
            </w:pPr>
            <w:r>
              <w:rPr>
                <w:rFonts w:ascii="Arial" w:cs="Arial" w:eastAsia="Arial" w:hAnsi="Arial"/>
                <w:sz w:val="16"/>
                <w:szCs w:val="16"/>
                <w:color w:val="auto"/>
              </w:rPr>
              <w:t>55</w:t>
            </w:r>
          </w:p>
        </w:tc>
      </w:tr>
      <w:tr>
        <w:trPr>
          <w:trHeight w:val="297"/>
        </w:trPr>
        <w:tc>
          <w:tcPr>
            <w:tcW w:w="1040" w:type="dxa"/>
            <w:vAlign w:val="bottom"/>
          </w:tcPr>
          <w:p>
            <w:pPr>
              <w:jc w:val="right"/>
              <w:ind w:right="619"/>
              <w:spacing w:after="0"/>
              <w:rPr>
                <w:sz w:val="20"/>
                <w:szCs w:val="20"/>
                <w:color w:val="auto"/>
              </w:rPr>
            </w:pPr>
            <w:r>
              <w:rPr>
                <w:rFonts w:ascii="Arial" w:cs="Arial" w:eastAsia="Arial" w:hAnsi="Arial"/>
                <w:sz w:val="16"/>
                <w:szCs w:val="16"/>
                <w:color w:val="auto"/>
              </w:rPr>
              <w:t>22</w:t>
            </w:r>
          </w:p>
        </w:tc>
        <w:tc>
          <w:tcPr>
            <w:tcW w:w="1660" w:type="dxa"/>
            <w:vAlign w:val="bottom"/>
          </w:tcPr>
          <w:p>
            <w:pPr>
              <w:jc w:val="right"/>
              <w:ind w:right="599"/>
              <w:spacing w:after="0"/>
              <w:rPr>
                <w:sz w:val="20"/>
                <w:szCs w:val="20"/>
                <w:color w:val="auto"/>
              </w:rPr>
            </w:pPr>
            <w:r>
              <w:rPr>
                <w:rFonts w:ascii="Arial" w:cs="Arial" w:eastAsia="Arial" w:hAnsi="Arial"/>
                <w:sz w:val="16"/>
                <w:szCs w:val="16"/>
                <w:color w:val="auto"/>
              </w:rPr>
              <w:t>3</w:t>
            </w:r>
          </w:p>
        </w:tc>
        <w:tc>
          <w:tcPr>
            <w:tcW w:w="1680" w:type="dxa"/>
            <w:vAlign w:val="bottom"/>
          </w:tcPr>
          <w:p>
            <w:pPr>
              <w:jc w:val="right"/>
              <w:ind w:right="619"/>
              <w:spacing w:after="0"/>
              <w:rPr>
                <w:sz w:val="20"/>
                <w:szCs w:val="20"/>
                <w:color w:val="auto"/>
              </w:rPr>
            </w:pPr>
            <w:r>
              <w:rPr>
                <w:rFonts w:ascii="Arial" w:cs="Arial" w:eastAsia="Arial" w:hAnsi="Arial"/>
                <w:sz w:val="16"/>
                <w:szCs w:val="16"/>
                <w:color w:val="auto"/>
              </w:rPr>
              <w:t>10</w:t>
            </w:r>
          </w:p>
        </w:tc>
        <w:tc>
          <w:tcPr>
            <w:tcW w:w="1660" w:type="dxa"/>
            <w:vAlign w:val="bottom"/>
          </w:tcPr>
          <w:p>
            <w:pPr>
              <w:jc w:val="right"/>
              <w:ind w:right="579"/>
              <w:spacing w:after="0"/>
              <w:rPr>
                <w:sz w:val="20"/>
                <w:szCs w:val="20"/>
                <w:color w:val="auto"/>
              </w:rPr>
            </w:pPr>
            <w:r>
              <w:rPr>
                <w:rFonts w:ascii="Arial" w:cs="Arial" w:eastAsia="Arial" w:hAnsi="Arial"/>
                <w:sz w:val="16"/>
                <w:szCs w:val="16"/>
                <w:color w:val="auto"/>
              </w:rPr>
              <w:t>11</w:t>
            </w:r>
          </w:p>
        </w:tc>
        <w:tc>
          <w:tcPr>
            <w:tcW w:w="1060" w:type="dxa"/>
            <w:vAlign w:val="bottom"/>
          </w:tcPr>
          <w:p>
            <w:pPr>
              <w:jc w:val="right"/>
              <w:spacing w:after="0"/>
              <w:rPr>
                <w:sz w:val="20"/>
                <w:szCs w:val="20"/>
                <w:color w:val="auto"/>
              </w:rPr>
            </w:pPr>
            <w:r>
              <w:rPr>
                <w:rFonts w:ascii="Arial" w:cs="Arial" w:eastAsia="Arial" w:hAnsi="Arial"/>
                <w:sz w:val="16"/>
                <w:szCs w:val="16"/>
                <w:color w:val="auto"/>
              </w:rPr>
              <w:t>46</w:t>
            </w:r>
          </w:p>
        </w:tc>
      </w:tr>
      <w:tr>
        <w:trPr>
          <w:trHeight w:val="297"/>
        </w:trPr>
        <w:tc>
          <w:tcPr>
            <w:tcW w:w="104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1660" w:type="dxa"/>
            <w:vAlign w:val="bottom"/>
          </w:tcPr>
          <w:p>
            <w:pPr>
              <w:jc w:val="right"/>
              <w:ind w:right="599"/>
              <w:spacing w:after="0"/>
              <w:rPr>
                <w:sz w:val="20"/>
                <w:szCs w:val="20"/>
                <w:color w:val="auto"/>
              </w:rPr>
            </w:pPr>
            <w:r>
              <w:rPr>
                <w:rFonts w:ascii="Arial" w:cs="Arial" w:eastAsia="Arial" w:hAnsi="Arial"/>
                <w:sz w:val="16"/>
                <w:szCs w:val="16"/>
                <w:color w:val="auto"/>
              </w:rPr>
              <w:t>—</w:t>
            </w:r>
          </w:p>
        </w:tc>
        <w:tc>
          <w:tcPr>
            <w:tcW w:w="168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1660" w:type="dxa"/>
            <w:vAlign w:val="bottom"/>
          </w:tcPr>
          <w:p>
            <w:pPr>
              <w:jc w:val="right"/>
              <w:ind w:right="579"/>
              <w:spacing w:after="0"/>
              <w:rPr>
                <w:sz w:val="20"/>
                <w:szCs w:val="20"/>
                <w:color w:val="auto"/>
              </w:rPr>
            </w:pPr>
            <w:r>
              <w:rPr>
                <w:rFonts w:ascii="Arial" w:cs="Arial" w:eastAsia="Arial" w:hAnsi="Arial"/>
                <w:sz w:val="16"/>
                <w:szCs w:val="16"/>
                <w:color w:val="auto"/>
              </w:rPr>
              <w:t>37</w:t>
            </w:r>
          </w:p>
        </w:tc>
        <w:tc>
          <w:tcPr>
            <w:tcW w:w="106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297"/>
        </w:trPr>
        <w:tc>
          <w:tcPr>
            <w:tcW w:w="104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1660" w:type="dxa"/>
            <w:vAlign w:val="bottom"/>
          </w:tcPr>
          <w:p>
            <w:pPr>
              <w:jc w:val="right"/>
              <w:ind w:right="559"/>
              <w:spacing w:after="0"/>
              <w:rPr>
                <w:sz w:val="20"/>
                <w:szCs w:val="20"/>
                <w:color w:val="auto"/>
              </w:rPr>
            </w:pPr>
            <w:r>
              <w:rPr>
                <w:rFonts w:ascii="Arial" w:cs="Arial" w:eastAsia="Arial" w:hAnsi="Arial"/>
                <w:sz w:val="16"/>
                <w:szCs w:val="16"/>
                <w:color w:val="auto"/>
              </w:rPr>
              <w:t>(37)</w:t>
            </w:r>
          </w:p>
        </w:tc>
        <w:tc>
          <w:tcPr>
            <w:tcW w:w="168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1660" w:type="dxa"/>
            <w:vAlign w:val="bottom"/>
          </w:tcPr>
          <w:p>
            <w:pPr>
              <w:jc w:val="right"/>
              <w:ind w:right="57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-2610485</wp:posOffset>
            </wp:positionH>
            <wp:positionV relativeFrom="paragraph">
              <wp:posOffset>-1592580</wp:posOffset>
            </wp:positionV>
            <wp:extent cx="71323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-1215390</wp:posOffset>
            </wp:positionV>
            <wp:extent cx="71323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-941070</wp:posOffset>
            </wp:positionV>
            <wp:extent cx="7132320" cy="2400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-563880</wp:posOffset>
            </wp:positionV>
            <wp:extent cx="7132320" cy="2400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-186690</wp:posOffset>
            </wp:positionV>
            <wp:extent cx="7132320" cy="2400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82" w:lineRule="exact"/>
        <w:rPr>
          <w:sz w:val="20"/>
          <w:szCs w:val="20"/>
          <w:color w:val="auto"/>
        </w:rPr>
      </w:pPr>
    </w:p>
    <w:p>
      <w:pPr>
        <w:sectPr>
          <w:pgSz w:w="11900" w:h="16838" w:orient="portrait"/>
          <w:cols w:equalWidth="0" w:num="2">
            <w:col w:w="3400" w:space="720"/>
            <w:col w:w="712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3000" w:type="dxa"/>
            <w:vAlign w:val="bottom"/>
          </w:tcPr>
          <w:p>
            <w:pPr>
              <w:ind w:left="240"/>
              <w:spacing w:after="0"/>
              <w:rPr>
                <w:sz w:val="20"/>
                <w:szCs w:val="20"/>
                <w:color w:val="auto"/>
              </w:rPr>
            </w:pPr>
            <w:r>
              <w:rPr>
                <w:rFonts w:ascii="Arial" w:cs="Arial" w:eastAsia="Arial" w:hAnsi="Arial"/>
                <w:sz w:val="16"/>
                <w:szCs w:val="16"/>
                <w:color w:val="auto"/>
              </w:rPr>
              <w:t>Contract amortization</w:t>
            </w:r>
          </w:p>
        </w:tc>
        <w:tc>
          <w:tcPr>
            <w:tcW w:w="5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(68)</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(30)</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(32)</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(169)</w:t>
            </w:r>
          </w:p>
        </w:tc>
      </w:tr>
      <w:tr>
        <w:trPr>
          <w:trHeight w:val="216"/>
        </w:trPr>
        <w:tc>
          <w:tcPr>
            <w:tcW w:w="3000" w:type="dxa"/>
            <w:vAlign w:val="bottom"/>
            <w:shd w:val="clear" w:color="auto" w:fill="DBDBDB"/>
          </w:tcPr>
          <w:p>
            <w:pPr>
              <w:ind w:left="240"/>
              <w:spacing w:after="0"/>
              <w:rPr>
                <w:sz w:val="20"/>
                <w:szCs w:val="20"/>
                <w:color w:val="auto"/>
              </w:rPr>
            </w:pPr>
            <w:r>
              <w:rPr>
                <w:rFonts w:ascii="Arial" w:cs="Arial" w:eastAsia="Arial" w:hAnsi="Arial"/>
                <w:sz w:val="16"/>
                <w:szCs w:val="16"/>
                <w:color w:val="auto"/>
              </w:rPr>
              <w:t>Other</w:t>
            </w:r>
          </w:p>
        </w:tc>
        <w:tc>
          <w:tcPr>
            <w:tcW w:w="580" w:type="dxa"/>
            <w:vAlign w:val="bottom"/>
            <w:tcBorders>
              <w:bottom w:val="single" w:sz="8" w:color="auto"/>
            </w:tcBorders>
            <w:shd w:val="clear" w:color="auto" w:fill="DBDBDB"/>
          </w:tcPr>
          <w:p>
            <w:pPr>
              <w:spacing w:after="0"/>
              <w:rPr>
                <w:sz w:val="18"/>
                <w:szCs w:val="18"/>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(11)</w:t>
            </w:r>
          </w:p>
        </w:tc>
        <w:tc>
          <w:tcPr>
            <w:tcW w:w="120" w:type="dxa"/>
            <w:vAlign w:val="bottom"/>
            <w:shd w:val="clear" w:color="auto" w:fill="DBDBDB"/>
          </w:tcPr>
          <w:p>
            <w:pPr>
              <w:spacing w:after="0"/>
              <w:rPr>
                <w:sz w:val="18"/>
                <w:szCs w:val="18"/>
                <w:color w:val="auto"/>
              </w:rPr>
            </w:pPr>
          </w:p>
        </w:tc>
        <w:tc>
          <w:tcPr>
            <w:tcW w:w="600" w:type="dxa"/>
            <w:vAlign w:val="bottom"/>
            <w:tcBorders>
              <w:bottom w:val="single" w:sz="8" w:color="auto"/>
            </w:tcBorders>
            <w:shd w:val="clear" w:color="auto" w:fill="DBDBDB"/>
          </w:tcPr>
          <w:p>
            <w:pPr>
              <w:spacing w:after="0"/>
              <w:rPr>
                <w:sz w:val="18"/>
                <w:szCs w:val="18"/>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(15)</w:t>
            </w:r>
          </w:p>
        </w:tc>
        <w:tc>
          <w:tcPr>
            <w:tcW w:w="140" w:type="dxa"/>
            <w:vAlign w:val="bottom"/>
            <w:shd w:val="clear" w:color="auto" w:fill="DBDBDB"/>
          </w:tcPr>
          <w:p>
            <w:pPr>
              <w:spacing w:after="0"/>
              <w:rPr>
                <w:sz w:val="18"/>
                <w:szCs w:val="18"/>
                <w:color w:val="auto"/>
              </w:rPr>
            </w:pPr>
          </w:p>
        </w:tc>
        <w:tc>
          <w:tcPr>
            <w:tcW w:w="580" w:type="dxa"/>
            <w:vAlign w:val="bottom"/>
            <w:tcBorders>
              <w:bottom w:val="single" w:sz="8" w:color="auto"/>
            </w:tcBorders>
            <w:shd w:val="clear" w:color="auto" w:fill="DBDBDB"/>
          </w:tcPr>
          <w:p>
            <w:pPr>
              <w:spacing w:after="0"/>
              <w:rPr>
                <w:sz w:val="18"/>
                <w:szCs w:val="18"/>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(16)</w:t>
            </w:r>
          </w:p>
        </w:tc>
        <w:tc>
          <w:tcPr>
            <w:tcW w:w="140" w:type="dxa"/>
            <w:vAlign w:val="bottom"/>
            <w:shd w:val="clear" w:color="auto" w:fill="DBDBDB"/>
          </w:tcPr>
          <w:p>
            <w:pPr>
              <w:spacing w:after="0"/>
              <w:rPr>
                <w:sz w:val="18"/>
                <w:szCs w:val="18"/>
                <w:color w:val="auto"/>
              </w:rPr>
            </w:pPr>
          </w:p>
        </w:tc>
        <w:tc>
          <w:tcPr>
            <w:tcW w:w="580" w:type="dxa"/>
            <w:vAlign w:val="bottom"/>
            <w:tcBorders>
              <w:bottom w:val="single" w:sz="8" w:color="auto"/>
            </w:tcBorders>
            <w:shd w:val="clear" w:color="auto" w:fill="DBDBDB"/>
          </w:tcPr>
          <w:p>
            <w:pPr>
              <w:spacing w:after="0"/>
              <w:rPr>
                <w:sz w:val="18"/>
                <w:szCs w:val="18"/>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w:t>
            </w:r>
          </w:p>
        </w:tc>
        <w:tc>
          <w:tcPr>
            <w:tcW w:w="140" w:type="dxa"/>
            <w:vAlign w:val="bottom"/>
            <w:shd w:val="clear" w:color="auto" w:fill="DBDBDB"/>
          </w:tcPr>
          <w:p>
            <w:pPr>
              <w:spacing w:after="0"/>
              <w:rPr>
                <w:sz w:val="18"/>
                <w:szCs w:val="18"/>
                <w:color w:val="auto"/>
              </w:rPr>
            </w:pPr>
          </w:p>
        </w:tc>
        <w:tc>
          <w:tcPr>
            <w:tcW w:w="580" w:type="dxa"/>
            <w:vAlign w:val="bottom"/>
            <w:tcBorders>
              <w:bottom w:val="single" w:sz="8" w:color="auto"/>
            </w:tcBorders>
            <w:shd w:val="clear" w:color="auto" w:fill="DBDBDB"/>
          </w:tcPr>
          <w:p>
            <w:pPr>
              <w:spacing w:after="0"/>
              <w:rPr>
                <w:sz w:val="18"/>
                <w:szCs w:val="18"/>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(43)</w:t>
            </w:r>
          </w:p>
        </w:tc>
      </w:tr>
      <w:tr>
        <w:trPr>
          <w:trHeight w:val="210"/>
        </w:trPr>
        <w:tc>
          <w:tcPr>
            <w:tcW w:w="3000" w:type="dxa"/>
            <w:vAlign w:val="bottom"/>
          </w:tcPr>
          <w:p>
            <w:pPr>
              <w:ind w:left="20"/>
              <w:spacing w:after="0"/>
              <w:rPr>
                <w:sz w:val="20"/>
                <w:szCs w:val="20"/>
                <w:color w:val="auto"/>
              </w:rPr>
            </w:pPr>
            <w:r>
              <w:rPr>
                <w:rFonts w:ascii="Arial" w:cs="Arial" w:eastAsia="Arial" w:hAnsi="Arial"/>
                <w:sz w:val="16"/>
                <w:szCs w:val="16"/>
                <w:b w:val="1"/>
                <w:bCs w:val="1"/>
                <w:color w:val="auto"/>
              </w:rPr>
              <w:t>Adjusted EBITDAX (Non-GAAP)</w:t>
            </w:r>
          </w:p>
        </w:tc>
        <w:tc>
          <w:tcPr>
            <w:tcW w:w="5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1,229</w:t>
            </w:r>
          </w:p>
        </w:tc>
        <w:tc>
          <w:tcPr>
            <w:tcW w:w="120" w:type="dxa"/>
            <w:vAlign w:val="bottom"/>
          </w:tcPr>
          <w:p>
            <w:pPr>
              <w:spacing w:after="0"/>
              <w:rPr>
                <w:sz w:val="18"/>
                <w:szCs w:val="18"/>
                <w:color w:val="auto"/>
              </w:rPr>
            </w:pPr>
          </w:p>
        </w:tc>
        <w:tc>
          <w:tcPr>
            <w:tcW w:w="6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1,183</w:t>
            </w:r>
          </w:p>
        </w:tc>
        <w:tc>
          <w:tcPr>
            <w:tcW w:w="140" w:type="dxa"/>
            <w:vAlign w:val="bottom"/>
          </w:tcPr>
          <w:p>
            <w:pPr>
              <w:spacing w:after="0"/>
              <w:rPr>
                <w:sz w:val="18"/>
                <w:szCs w:val="18"/>
                <w:color w:val="auto"/>
              </w:rPr>
            </w:pPr>
          </w:p>
        </w:tc>
        <w:tc>
          <w:tcPr>
            <w:tcW w:w="5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1,968</w:t>
            </w:r>
          </w:p>
        </w:tc>
        <w:tc>
          <w:tcPr>
            <w:tcW w:w="140" w:type="dxa"/>
            <w:vAlign w:val="bottom"/>
          </w:tcPr>
          <w:p>
            <w:pPr>
              <w:spacing w:after="0"/>
              <w:rPr>
                <w:sz w:val="18"/>
                <w:szCs w:val="18"/>
                <w:color w:val="auto"/>
              </w:rPr>
            </w:pPr>
          </w:p>
        </w:tc>
        <w:tc>
          <w:tcPr>
            <w:tcW w:w="5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1,425</w:t>
            </w:r>
          </w:p>
        </w:tc>
        <w:tc>
          <w:tcPr>
            <w:tcW w:w="140" w:type="dxa"/>
            <w:vAlign w:val="bottom"/>
          </w:tcPr>
          <w:p>
            <w:pPr>
              <w:spacing w:after="0"/>
              <w:rPr>
                <w:sz w:val="18"/>
                <w:szCs w:val="18"/>
                <w:color w:val="auto"/>
              </w:rPr>
            </w:pPr>
          </w:p>
        </w:tc>
        <w:tc>
          <w:tcPr>
            <w:tcW w:w="5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5,805</w:t>
            </w:r>
          </w:p>
        </w:tc>
      </w:tr>
      <w:tr>
        <w:trPr>
          <w:trHeight w:val="20"/>
        </w:trPr>
        <w:tc>
          <w:tcPr>
            <w:tcW w:w="30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386C"/>
        </w:rPr>
        <w:t>NET DEBT TO ADJUSTED EBITDAX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66573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440" w:type="dxa"/>
            <w:vAlign w:val="bottom"/>
            <w:tcBorders>
              <w:bottom w:val="single" w:sz="8" w:color="DBDBDB"/>
            </w:tcBorders>
          </w:tcPr>
          <w:p>
            <w:pPr>
              <w:ind w:left="20"/>
              <w:spacing w:after="0"/>
              <w:rPr>
                <w:sz w:val="20"/>
                <w:szCs w:val="20"/>
                <w:color w:val="auto"/>
              </w:rPr>
            </w:pPr>
            <w:r>
              <w:rPr>
                <w:rFonts w:ascii="Arial" w:cs="Arial" w:eastAsia="Arial" w:hAnsi="Arial"/>
                <w:sz w:val="16"/>
                <w:szCs w:val="16"/>
                <w:i w:val="1"/>
                <w:iCs w:val="1"/>
                <w:color w:val="auto"/>
              </w:rPr>
              <w:t>($ in millions)</w:t>
            </w:r>
          </w:p>
        </w:tc>
        <w:tc>
          <w:tcPr>
            <w:tcW w:w="28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September 30, 2026</w:t>
            </w:r>
          </w:p>
        </w:tc>
      </w:tr>
      <w:tr>
        <w:trPr>
          <w:trHeight w:val="210"/>
        </w:trPr>
        <w:tc>
          <w:tcPr>
            <w:tcW w:w="8440" w:type="dxa"/>
            <w:vAlign w:val="bottom"/>
            <w:shd w:val="clear" w:color="auto" w:fill="DBDBDB"/>
          </w:tcPr>
          <w:p>
            <w:pPr>
              <w:ind w:left="20"/>
              <w:spacing w:after="0"/>
              <w:rPr>
                <w:sz w:val="20"/>
                <w:szCs w:val="20"/>
                <w:color w:val="auto"/>
              </w:rPr>
            </w:pPr>
            <w:r>
              <w:rPr>
                <w:rFonts w:ascii="Arial" w:cs="Arial" w:eastAsia="Arial" w:hAnsi="Arial"/>
                <w:sz w:val="16"/>
                <w:szCs w:val="16"/>
                <w:color w:val="auto"/>
              </w:rPr>
              <w:t>Net debt (Non-GAAP)</w:t>
            </w:r>
          </w:p>
        </w:tc>
        <w:tc>
          <w:tcPr>
            <w:tcW w:w="280" w:type="dxa"/>
            <w:vAlign w:val="bottom"/>
            <w:shd w:val="clear" w:color="auto" w:fill="DBDBDB"/>
          </w:tcPr>
          <w:p>
            <w:pPr>
              <w:jc w:val="right"/>
              <w:ind w:right="79"/>
              <w:spacing w:after="0"/>
              <w:rPr>
                <w:sz w:val="20"/>
                <w:szCs w:val="20"/>
                <w:color w:val="auto"/>
              </w:rPr>
            </w:pPr>
            <w:r>
              <w:rPr>
                <w:rFonts w:ascii="Arial" w:cs="Arial" w:eastAsia="Arial" w:hAnsi="Arial"/>
                <w:sz w:val="16"/>
                <w:szCs w:val="16"/>
                <w:color w:val="auto"/>
              </w:rPr>
              <w:t>$</w:t>
            </w:r>
          </w:p>
        </w:tc>
        <w:tc>
          <w:tcPr>
            <w:tcW w:w="2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4,656</w:t>
            </w:r>
          </w:p>
        </w:tc>
      </w:tr>
      <w:tr>
        <w:trPr>
          <w:trHeight w:val="216"/>
        </w:trPr>
        <w:tc>
          <w:tcPr>
            <w:tcW w:w="8440" w:type="dxa"/>
            <w:vAlign w:val="bottom"/>
            <w:tcBorders>
              <w:bottom w:val="single" w:sz="8" w:color="DBDBDB"/>
            </w:tcBorders>
          </w:tcPr>
          <w:p>
            <w:pPr>
              <w:ind w:left="20"/>
              <w:spacing w:after="0" w:line="216" w:lineRule="exact"/>
              <w:rPr>
                <w:sz w:val="20"/>
                <w:szCs w:val="20"/>
                <w:color w:val="auto"/>
              </w:rPr>
            </w:pPr>
            <w:r>
              <w:rPr>
                <w:rFonts w:ascii="Arial" w:cs="Arial" w:eastAsia="Arial" w:hAnsi="Arial"/>
                <w:sz w:val="16"/>
                <w:szCs w:val="16"/>
                <w:color w:val="auto"/>
              </w:rPr>
              <w:t>Adjusted EBITDAX (Non-GAAP)</w:t>
            </w:r>
            <w:r>
              <w:rPr>
                <w:rFonts w:ascii="Arial" w:cs="Arial" w:eastAsia="Arial" w:hAnsi="Arial"/>
                <w:sz w:val="21"/>
                <w:szCs w:val="21"/>
                <w:color w:val="auto"/>
                <w:vertAlign w:val="superscript"/>
              </w:rPr>
              <w:t>(a)</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5,805</w:t>
            </w:r>
          </w:p>
        </w:tc>
      </w:tr>
      <w:tr>
        <w:trPr>
          <w:trHeight w:val="210"/>
        </w:trPr>
        <w:tc>
          <w:tcPr>
            <w:tcW w:w="8440" w:type="dxa"/>
            <w:vAlign w:val="bottom"/>
            <w:shd w:val="clear" w:color="auto" w:fill="DBDBDB"/>
          </w:tcPr>
          <w:p>
            <w:pPr>
              <w:ind w:left="20"/>
              <w:spacing w:after="0"/>
              <w:rPr>
                <w:sz w:val="20"/>
                <w:szCs w:val="20"/>
                <w:color w:val="auto"/>
              </w:rPr>
            </w:pPr>
            <w:r>
              <w:rPr>
                <w:rFonts w:ascii="Arial" w:cs="Arial" w:eastAsia="Arial" w:hAnsi="Arial"/>
                <w:sz w:val="16"/>
                <w:szCs w:val="16"/>
                <w:color w:val="auto"/>
              </w:rPr>
              <w:t>Net debt to Adjusted EBITDAX (Non-GAAP)</w:t>
            </w:r>
          </w:p>
        </w:tc>
        <w:tc>
          <w:tcPr>
            <w:tcW w:w="280" w:type="dxa"/>
            <w:vAlign w:val="bottom"/>
            <w:shd w:val="clear" w:color="auto" w:fill="DBDBDB"/>
          </w:tcPr>
          <w:p>
            <w:pPr>
              <w:spacing w:after="0"/>
              <w:rPr>
                <w:sz w:val="18"/>
                <w:szCs w:val="18"/>
                <w:color w:val="auto"/>
              </w:rPr>
            </w:pPr>
          </w:p>
        </w:tc>
        <w:tc>
          <w:tcPr>
            <w:tcW w:w="2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0.8</w:t>
            </w:r>
          </w:p>
        </w:tc>
      </w:tr>
    </w:tbl>
    <w:p>
      <w:pPr>
        <w:spacing w:after="0" w:line="391" w:lineRule="exact"/>
        <w:rPr>
          <w:sz w:val="20"/>
          <w:szCs w:val="20"/>
          <w:color w:val="auto"/>
        </w:rPr>
      </w:pPr>
    </w:p>
    <w:p>
      <w:pPr>
        <w:ind w:left="760" w:hanging="329"/>
        <w:spacing w:after="0"/>
        <w:tabs>
          <w:tab w:leader="none" w:pos="760" w:val="left"/>
        </w:tabs>
        <w:numPr>
          <w:ilvl w:val="0"/>
          <w:numId w:val="8"/>
        </w:numPr>
        <w:rPr>
          <w:rFonts w:ascii="Arial" w:cs="Arial" w:eastAsia="Arial" w:hAnsi="Arial"/>
          <w:sz w:val="15"/>
          <w:szCs w:val="15"/>
          <w:color w:val="auto"/>
        </w:rPr>
      </w:pPr>
      <w:r>
        <w:rPr>
          <w:rFonts w:ascii="Arial" w:cs="Arial" w:eastAsia="Arial" w:hAnsi="Arial"/>
          <w:sz w:val="16"/>
          <w:szCs w:val="16"/>
          <w:color w:val="auto"/>
        </w:rPr>
        <w:t>Adjusted EBITDAX using a trailing twelve month calculation.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sectPr>
      <w:pgSz w:w="11900" w:h="16838" w:orient="portrait"/>
      <w:cols w:equalWidth="0" w:num="1">
        <w:col w:w="11240"/>
      </w:cols>
      <w:pgMar w:left="320" w:top="1440"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lowerLetter"/>
      <w:start w:val="4"/>
    </w:lvl>
  </w:abstractNum>
  <w:abstractNum w:abstractNumId="2">
    <w:nsid w:val="3D1B58BA"/>
    <w:multiLevelType w:val="hybridMultilevel"/>
    <w:lvl w:ilvl="0">
      <w:lvlJc w:val="left"/>
      <w:lvlText w:val="(%1)"/>
      <w:numFmt w:val="decimal"/>
    </w:lvl>
    <w:lvl w:ilvl="1">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2026-10-27T15:04:31Z</dcterms:created>
  <dcterms:modified xsi:type="dcterms:W3CDTF">2026-10-27T15:04:31Z</dcterms:modified>
</cp:coreProperties>
</file>