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7775d1_8k.htm"/>
      <w:bookmarkStart w:id="1" w:name="kstm2627775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3_edei--DocumentType_c2026101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717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EXPAND ENERGY CORPORATION</w:t>
      </w:r>
    </w:p>
    <w:p>
      <w:pPr>
        <w:pStyle w:val="TextBody"/>
        <w:pBdr>
          <w:top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2375"/>
        <w:gridCol w:w="60"/>
        <w:gridCol w:w="2210"/>
        <w:gridCol w:w="60"/>
        <w:gridCol w:w="278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Oklahoma</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1016"/>
            <w:bookmarkEnd w:id="6"/>
            <w:r>
              <w:rPr>
                <w:rFonts w:ascii="Times New Roman;Times;Serif" w:hAnsi="Times New Roman;Times;Serif"/>
                <w:b/>
                <w:sz w:val="20"/>
              </w:rPr>
              <w:t>001-13726</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73-1395733</w:t>
            </w:r>
          </w:p>
        </w:tc>
      </w:tr>
      <w:tr>
        <w:trPr/>
        <w:tc>
          <w:tcPr>
            <w:tcW w:w="237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21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7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283"/>
        <w:jc w:val="left"/>
        <w:rPr/>
      </w:pPr>
      <w:r>
        <w:rPr/>
        <w:t> </w:t>
      </w:r>
    </w:p>
    <w:tbl>
      <w:tblPr>
        <w:tblW w:w="4193" w:type="dxa"/>
        <w:jc w:val="left"/>
        <w:tblInd w:w="0" w:type="dxa"/>
        <w:tblLayout w:type="fixed"/>
        <w:tblCellMar>
          <w:top w:w="0" w:type="dxa"/>
          <w:left w:w="0" w:type="dxa"/>
          <w:bottom w:w="28" w:type="dxa"/>
          <w:right w:w="0" w:type="dxa"/>
        </w:tblCellMar>
      </w:tblPr>
      <w:tblGrid>
        <w:gridCol w:w="1983"/>
        <w:gridCol w:w="648"/>
        <w:gridCol w:w="582"/>
        <w:gridCol w:w="60"/>
        <w:gridCol w:w="920"/>
      </w:tblGrid>
      <w:tr>
        <w:trPr/>
        <w:tc>
          <w:tcPr>
            <w:tcW w:w="1983"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bookmarkStart w:id="8" w:name="xdx_90A_edei--EntityAddressAddressLine1_"/>
            <w:bookmarkEnd w:id="8"/>
            <w:r>
              <w:rPr>
                <w:rFonts w:ascii="Times New Roman;Times;Serif" w:hAnsi="Times New Roman;Times;Serif"/>
                <w:b/>
                <w:sz w:val="20"/>
              </w:rPr>
              <w:t xml:space="preserve">10000 Energy Drive </w:t>
            </w:r>
          </w:p>
        </w:tc>
        <w:tc>
          <w:tcPr>
            <w:tcW w:w="64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9" w:name="xdx_900_edei--EntityAddressCityOrTown_c2"/>
            <w:bookmarkEnd w:id="9"/>
            <w:r>
              <w:rPr>
                <w:rFonts w:ascii="Times New Roman;Times;Serif" w:hAnsi="Times New Roman;Times;Serif"/>
                <w:b/>
                <w:sz w:val="20"/>
              </w:rPr>
              <w:t>Spring</w:t>
            </w:r>
          </w:p>
        </w:tc>
        <w:tc>
          <w:tcPr>
            <w:tcW w:w="582"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bookmarkStart w:id="10" w:name="xdx_908_edei--EntityAddressStateOrProvin"/>
            <w:bookmarkEnd w:id="10"/>
            <w:r>
              <w:rPr>
                <w:rFonts w:ascii="Times New Roman;Times;Serif" w:hAnsi="Times New Roman;Times;Serif"/>
                <w:b/>
                <w:sz w:val="20"/>
              </w:rPr>
              <w:t>Texas</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4_edei--EntityAddressPostalZipCode"/>
            <w:bookmarkEnd w:id="11"/>
            <w:r>
              <w:rPr>
                <w:rFonts w:ascii="Times New Roman;Times;Serif" w:hAnsi="Times New Roman;Times;Serif"/>
                <w:b/>
                <w:sz w:val="20"/>
              </w:rPr>
              <w:t>77389</w:t>
            </w:r>
          </w:p>
        </w:tc>
      </w:tr>
      <w:tr>
        <w:trPr/>
        <w:tc>
          <w:tcPr>
            <w:tcW w:w="3213" w:type="dxa"/>
            <w:gridSpan w:val="3"/>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B_edei--CityAreaCode_c20261016__20"/>
      <w:bookmarkEnd w:id="12"/>
      <w:r>
        <w:rPr>
          <w:rFonts w:ascii="Times New Roman;Times;Serif" w:hAnsi="Times New Roman;Times;Serif"/>
          <w:b/>
          <w:i w:val="false"/>
          <w:caps w:val="false"/>
          <w:smallCaps w:val="false"/>
          <w:sz w:val="20"/>
        </w:rPr>
        <w:t xml:space="preserve">346) </w:t>
      </w:r>
      <w:bookmarkStart w:id="13" w:name="xdx_906_edei--LocalPhoneNumber_c20261016"/>
      <w:bookmarkEnd w:id="13"/>
      <w:r>
        <w:rPr>
          <w:rFonts w:ascii="Times New Roman;Times;Serif" w:hAnsi="Times New Roman;Times;Serif"/>
          <w:b/>
          <w:i w:val="false"/>
          <w:caps w:val="false"/>
          <w:smallCaps w:val="false"/>
          <w:sz w:val="20"/>
        </w:rPr>
        <w:t>535-0990</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0_edei--SolicitingMaterial_c202610"/>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3410"/>
        <w:gridCol w:w="60"/>
        <w:gridCol w:w="1415"/>
        <w:gridCol w:w="60"/>
        <w:gridCol w:w="2855"/>
      </w:tblGrid>
      <w:tr>
        <w:trPr/>
        <w:tc>
          <w:tcPr>
            <w:tcW w:w="3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Trading Symbol</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341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bookmarkStart w:id="18" w:name="xdx_904_edei--Security12bTitle_c20261016"/>
            <w:bookmarkEnd w:id="18"/>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center"/>
              <w:rPr/>
            </w:pPr>
            <w:r>
              <w:rPr/>
              <w:t> </w:t>
            </w:r>
          </w:p>
        </w:tc>
        <w:tc>
          <w:tcPr>
            <w:tcW w:w="141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9" w:name="xdx_904_edei--TradingSymbol_c20261016__2"/>
            <w:bookmarkEnd w:id="19"/>
            <w:r>
              <w:rPr>
                <w:rFonts w:ascii="Times New Roman;Times;Serif" w:hAnsi="Times New Roman;Times;Serif"/>
                <w:sz w:val="20"/>
              </w:rPr>
              <w:t>EXE</w:t>
            </w:r>
          </w:p>
        </w:tc>
        <w:tc>
          <w:tcPr>
            <w:tcW w:w="60" w:type="dxa"/>
            <w:tcBorders/>
            <w:vAlign w:val="center"/>
          </w:tcPr>
          <w:p>
            <w:pPr>
              <w:pStyle w:val="TableContents"/>
              <w:bidi w:val="0"/>
              <w:spacing w:before="0" w:after="283"/>
              <w:jc w:val="center"/>
              <w:rPr/>
            </w:pPr>
            <w:r>
              <w:rPr/>
              <w:t> </w:t>
            </w:r>
          </w:p>
        </w:tc>
        <w:tc>
          <w:tcPr>
            <w:tcW w:w="285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20" w:name="xdx_901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center"/>
              <w:rPr/>
            </w:pPr>
            <w:bookmarkStart w:id="21" w:name="xdx_904_edei--EntityEmergingGrowthCompan"/>
            <w:bookmarkEnd w:id="21"/>
            <w:r>
              <w:rPr/>
              <w:t>☐</w:t>
            </w:r>
          </w:p>
        </w:tc>
      </w:tr>
      <w:tr>
        <w:trPr/>
        <w:tc>
          <w:tcPr>
            <w:tcW w:w="996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Expand Energy Corporation (the “Company”) has appointed Daniel E. Brown as the Company’s President and Chief Executive Officer, effective as of the commencement of his employment, which is anticipated to occur October 26, 2026 (the “Effective Date”). Mr. Brown, age 51, most recently served as President and Chief Executive Officer of Chord Energy Corporation from July 2024 until October 2026 and as Chief Executive Officer of Oasis Petroleum, Inc., Chord’s predecessor, from April 2021 until July 2024. Prior to that, he served in various roles of increasing responsibility at Anadarko Petroleum Corporation and its predecessor, Kerr-McGee Corporation, from 1998 until Anadarko was acquired by Occidental Petroleum Corporation, including as Executive Vice President, U.S. Onshore Operations; Executive Vice President and Senior Vice President, International and Deepwater Operations; Vice President, Operations (Southern and Appalachia); and Vice President, Corporate Planning. Mr. Brown currently serves as a member of the board of directors of Beacon Offshore Energy, LLC, a position he has held since 2020, and previously served as a member of the board of directors of Chord Energy Corporation and its predecessor from 2021 until 2026, Oasis Midstream Partners LP from 2021 until 2022, Western Midstream Partners, LP in 2019 and Western Gas Equity Partners, LP and Western Gas Partners, LP from 2017 until 2019. Mr. Brown holds a Bachelor of Science in Mechanical Engineering from Texas A&amp;M University and a Master of Business Administration from Rice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as President and Chief Executive Officer of the Company, the Company and Mr. Brown entered into an offer of employment (the “CEO Offer Letter”). Pursuant to the CEO Offer Letter, Mr. Brown’s annual base salary will be $1,000,000 per year, with an annual cash performance bonus target of 125% of his annual base salary (the “Annual Target Bonus”), which bonus will be earned based on the achievement of certain performance goals established by the Board or the Compensation Committee, with the Annual Target Bonus paid at target achievement with respect to 2026. Mr. Brown will also participate in the Company’s long-term incentive program, pursuant to which his annual long-term incentive award will be delivered 30% in restricted stock units (“RSUs”) and 70% in performance share units (“PSUs”) with an aggregate target value of $8,750,000 calculated as set forth in the CEO Offer Letter, which amount will be prorated with respect to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Mr. Brown will also receive a make-whole equity award (the “Make Whole Award”) granted under the Company’s long-term incentive plan, which will consist of RSUs with a target value of $4,726,662 (the “Make Whole RSUs”) and PSUs with a target value of $10,925,584 (the “Make Whole PSUs”), with such values determined as set forth in the CEO Offer Letter. The Make-Whole Award is intended to compensate Mr. Brown for compensation forfeited at his prior employer. The Make Whole RSUs are scheduled to vest in equal, one-third installments on each of December 31, 2027, December 31, 2028 and December 31, 2029. The Make Whole PSUs will vest in equal parts based on the achievement of total shareholder return metrics over three overlapping performance periods beginning with the third quarter of 2026 and ending December 31, 2028, December 31, 2029 and December 31, 2030, respectively; provided, that the Make Whole Award is subject to accelerated vesting upon Mr. Brown’s Qualifying Termination. A “Qualifying Termination” will occur if Mr. Brown ceases to serve as President and Chief Executive Officer of the Company due to the Company’s termination of his employment without cause or his resignation for good reason following the effective date of his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Brown will be a Tier 1 participant in the Company’s Executive Severance Plan that was previously filed with the SEC on February 26, 2025 as Exhibit 10.18 to the Company’s Annual Report on Form 10-K for the year ended December 31, 2024. Mr. Brown’s incentive compensation will be subject to the Company’s clawback policies applicable to all executive officers of the Company in effect from time to time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enter into a standard Indemnity Agreement with Mr. Brown, a form of which was previously filed with the SEC on February 26, 2025 as Exhibit 10.7 to the Company’s Annual Report on Form 10-K for the year ended December 31, 2024. Pursuant to this agreement, subject to the exceptions and limitations provided therein, the Company will indemnify Mr. Brown for obligations he may incur in his capacity as an officer and director, as authorized by the Company’s restated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aware of any arrangement or understanding between Mr. Brown and any other person pursuant to which he was appointed as an officer or director. Mr. Brown does not have any family relationships with any of the Company’s directors or executive officers or a direct or indirect material interest in any transaction or series of similar transactions that would require disclosure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commencement of Mr. Brown’s employment, Michael Wichterich will cease to serve as the Company’s Interim President and Chief Executive Officer, but he will continue to serve as the Company’s Chairman of the Board. Mr. Wichterich’s transition was planned and not the result of any disagreement with the Company on any matter relating to the operations, policies or practices of the Company. There are no severance or transition payments to Mr. Wichterich as part of his interim position ceasing other than Mr. Wichterich will be entitled to retain a pro-rata portion of his 2026 long-term incentive award based on the number of days served during the one-year period following the grant date, subject to his retention of a minimum number of RSUs and PSUs with an aggregate grant date fair value of $1,000,000, consistent with the terms of his “Qualifying Termination” entitlements, as described in the Company’s Form 8-K filed with the United States Securities and Exchange Commission on February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as Chief Executive Officer, the Board has also elected Mr. Brown to serve as a member of the Board as of the Effective Date, to serve until the Company’s next annual meeting of stockholders. Mr. Brown has not been appointed to any committees of the Board at this time. As an employee director, Mr. Brown will not receive separate compensation for Board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2026, the Company issued a press release announcing the appointment of Mr. Brown as President and Chief Executive Officer of the Company. A copy of the press release is attached hereto as Exhibit 99.1 and is incorporated herein by reference. The information contained in this press release is being furnished and shall not be deemed “filed” for purposes of Section 18 of the Securities and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28" w:type="dxa"/>
          <w:right w:w="0" w:type="dxa"/>
        </w:tblCellMar>
      </w:tblPr>
      <w:tblGrid>
        <w:gridCol w:w="680"/>
        <w:gridCol w:w="60"/>
        <w:gridCol w:w="7385"/>
      </w:tblGrid>
      <w:tr>
        <w:trPr/>
        <w:tc>
          <w:tcPr>
            <w:tcW w:w="68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73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80" w:type="dxa"/>
            <w:tcBorders/>
            <w:tcMar>
              <w:bottom w:w="0" w:type="dxa"/>
            </w:tcMar>
            <w:vAlign w:val="center"/>
          </w:tcPr>
          <w:p>
            <w:pPr>
              <w:pStyle w:val="TableContents"/>
              <w:bidi w:val="0"/>
              <w:spacing w:before="0" w:after="283"/>
              <w:jc w:val="left"/>
              <w:rPr/>
            </w:pPr>
            <w:hyperlink w:anchor="tm262777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385" w:type="dxa"/>
            <w:tcBorders/>
            <w:tcMar>
              <w:bottom w:w="0" w:type="dxa"/>
            </w:tcMar>
            <w:vAlign w:val="center"/>
          </w:tcPr>
          <w:p>
            <w:pPr>
              <w:pStyle w:val="TableContents"/>
              <w:bidi w:val="0"/>
              <w:spacing w:before="0" w:after="283"/>
              <w:jc w:val="both"/>
              <w:rPr/>
            </w:pPr>
            <w:hyperlink w:anchor="tm2627775d1_ex99-1.htm">
              <w:r>
                <w:rPr>
                  <w:rStyle w:val="InternetLink"/>
                  <w:rFonts w:ascii="Times New Roman;Times;Serif" w:hAnsi="Times New Roman;Times;Serif"/>
                  <w:sz w:val="20"/>
                </w:rPr>
                <w:t>Press Release dated October 19, 2026.</w:t>
              </w:r>
            </w:hyperlink>
          </w:p>
        </w:tc>
      </w:tr>
      <w:tr>
        <w:trPr/>
        <w:tc>
          <w:tcPr>
            <w:tcW w:w="6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73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90" w:right="9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320"/>
        <w:gridCol w:w="55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EXPAND ENERGY CORPORATION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10"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CHRIS LACY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Lacy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Corporate Secretary</w:t>
            </w:r>
          </w:p>
        </w:tc>
      </w:tr>
    </w:tbl>
    <w:p>
      <w:pPr>
        <w:pStyle w:val="TextBody"/>
        <w:bidi w:val="0"/>
        <w:spacing w:before="0" w:after="0"/>
        <w:ind w:left="90" w:right="9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7775d1_ex99-1.htm"/>
      <w:bookmarkStart w:id="23" w:name="kstm2627775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tbl>
      <w:tblPr>
        <w:tblW w:w="2698" w:type="dxa"/>
        <w:jc w:val="left"/>
        <w:tblInd w:w="0" w:type="dxa"/>
        <w:tblLayout w:type="fixed"/>
        <w:tblCellMar>
          <w:top w:w="0" w:type="dxa"/>
          <w:left w:w="0" w:type="dxa"/>
          <w:bottom w:w="0" w:type="dxa"/>
          <w:right w:w="0" w:type="dxa"/>
        </w:tblCellMar>
      </w:tblPr>
      <w:tblGrid>
        <w:gridCol w:w="1238"/>
        <w:gridCol w:w="1460"/>
      </w:tblGrid>
      <w:tr>
        <w:trPr/>
        <w:tc>
          <w:tcPr>
            <w:tcW w:w="1238" w:type="dxa"/>
            <w:tcBorders/>
            <w:vAlign w:val="center"/>
          </w:tcPr>
          <w:p>
            <w:pPr>
              <w:pStyle w:val="TableContents"/>
              <w:bidi w:val="0"/>
              <w:spacing w:before="0" w:after="283"/>
              <w:jc w:val="left"/>
              <w:rPr/>
            </w:pPr>
            <w:r>
              <w:rPr/>
              <w:drawing>
                <wp:inline distT="0" distB="0" distL="0" distR="0">
                  <wp:extent cx="786130" cy="2012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6130" cy="201295"/>
                          </a:xfrm>
                          <a:prstGeom prst="rect">
                            <a:avLst/>
                          </a:prstGeom>
                        </pic:spPr>
                      </pic:pic>
                    </a:graphicData>
                  </a:graphic>
                </wp:inline>
              </w:drawing>
            </w:r>
          </w:p>
        </w:tc>
        <w:tc>
          <w:tcPr>
            <w:tcW w:w="1460" w:type="dxa"/>
            <w:tcBorders/>
            <w:vAlign w:val="center"/>
          </w:tcPr>
          <w:p>
            <w:pPr>
              <w:pStyle w:val="TableContents"/>
              <w:bidi w:val="0"/>
              <w:spacing w:before="0" w:after="283"/>
              <w:jc w:val="right"/>
              <w:rPr>
                <w:sz w:val="20"/>
              </w:rPr>
            </w:pPr>
            <w:r>
              <w:rPr>
                <w:sz w:val="20"/>
              </w:rPr>
              <w:t>NEWS RELEASE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383838"/>
          <w:sz w:val="20"/>
        </w:rPr>
      </w:pPr>
      <w:r>
        <w:rPr>
          <w:rFonts w:ascii="Times New Roman;Times;Serif" w:hAnsi="Times New Roman;Times;Serif"/>
          <w:b w:val="false"/>
          <w:i w:val="false"/>
          <w:caps w:val="false"/>
          <w:smallCaps w:val="false"/>
          <w:color w:val="383838"/>
          <w:sz w:val="20"/>
        </w:rPr>
        <w:t>Expand Energy Corporation Names Danny Brown</w:t>
      </w:r>
    </w:p>
    <w:p>
      <w:pPr>
        <w:pStyle w:val="TextBody"/>
        <w:bidi w:val="0"/>
        <w:spacing w:before="0" w:after="0"/>
        <w:ind w:left="0" w:right="0" w:hanging="0"/>
        <w:jc w:val="center"/>
        <w:rPr>
          <w:rFonts w:ascii="Times New Roman;Times;Serif" w:hAnsi="Times New Roman;Times;Serif"/>
          <w:b w:val="false"/>
          <w:i w:val="false"/>
          <w:caps w:val="false"/>
          <w:smallCaps w:val="false"/>
          <w:color w:val="383838"/>
          <w:sz w:val="20"/>
        </w:rPr>
      </w:pPr>
      <w:r>
        <w:rPr>
          <w:rFonts w:ascii="Times New Roman;Times;Serif" w:hAnsi="Times New Roman;Times;Serif"/>
          <w:b w:val="false"/>
          <w:i w:val="false"/>
          <w:caps w:val="false"/>
          <w:smallCaps w:val="false"/>
          <w:color w:val="383838"/>
          <w:sz w:val="20"/>
        </w:rPr>
        <w:t>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color w:val="383838"/>
          <w:sz w:val="20"/>
        </w:rPr>
      </w:pPr>
      <w:r>
        <w:rPr>
          <w:rFonts w:ascii="Times New Roman;Times;Serif" w:hAnsi="Times New Roman;Times;Serif"/>
          <w:b/>
          <w:i/>
          <w:caps w:val="false"/>
          <w:smallCaps w:val="false"/>
          <w:color w:val="383838"/>
          <w:sz w:val="20"/>
        </w:rPr>
        <w:t>Proven energy leader to head North America’s leading integrated natural gas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383838"/>
          <w:sz w:val="20"/>
        </w:rPr>
      </w:pPr>
      <w:r>
        <w:rPr>
          <w:rFonts w:ascii="Times New Roman;Times;Serif" w:hAnsi="Times New Roman;Times;Serif"/>
          <w:b/>
          <w:i w:val="false"/>
          <w:caps w:val="false"/>
          <w:smallCaps w:val="false"/>
          <w:color w:val="383838"/>
          <w:sz w:val="20"/>
        </w:rPr>
        <w:t>SPRING, Texas</w:t>
      </w:r>
      <w:r>
        <w:rPr>
          <w:rFonts w:ascii="Times New Roman;Times;Serif" w:hAnsi="Times New Roman;Times;Serif"/>
          <w:b w:val="false"/>
          <w:i w:val="false"/>
          <w:caps w:val="false"/>
          <w:smallCaps w:val="false"/>
          <w:color w:val="383838"/>
          <w:sz w:val="20"/>
        </w:rPr>
        <w:t xml:space="preserve"> – October 19, 2026 – Expand Energy Corporation (NASDAQ: EXE) (“Expand Energy” or the “Company”), the largest natural gas producer in North America, today announced that its Board of Directors (the “Board”) has appointed Daniel E. Brown as President and Chief Executive Officer, effective October 26. Brown will also be appointed to the Board. Michael A. Wichterich, who has served as Interim President and Chief Executive Officer since February 2026, will return to his role as Non-Executive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With deep industry experience, a proven track record of leading high-performing organizations through transformation, and a demonstrated ability to create significant shareholder value, Danny is well positioned to help accelerate Expand Energy’s momentum and deliver as North America’s leading integrated natural gas company,” said Chairman of the Board Michael A. Wichterich. “He will take a company that is already North America’s largest producer and marketer of natural gas and make it even better. Danny is the right leader at the right time to help Expand Energy deliver on its vast potential. The Board looks forward to him leading the next phase of Expand Energy's journey, building on the strong foundation created by the talented people across our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Expand Energy is unmatched with its scaled portfolio of premier assets in the most important gas-producing regions, enhanced by a differentiated commercial platform that serves customers from coast to coast,” said Chief Executive Officer Brown. “The opportunity ahead for value creation is significant. LNG exports, growing power demand and new industrial investment are creating a greater need for reliable energy, and Expand Energy is uniquely positioned with the resources and capabilities to meet that need. I am honored the Board has entrusted me to lead this high-potential company into its next era. Together, with the talented team at Expand Energy, I look forward to turning the company’s competitive advantages into sustained, differentiated performance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383838"/>
          <w:sz w:val="20"/>
        </w:rPr>
      </w:pPr>
      <w:r>
        <w:rPr>
          <w:rFonts w:ascii="Times New Roman;Times;Serif" w:hAnsi="Times New Roman;Times;Serif"/>
          <w:b w:val="false"/>
          <w:i w:val="false"/>
          <w:caps w:val="false"/>
          <w:smallCaps w:val="false"/>
          <w:color w:val="383838"/>
          <w:sz w:val="20"/>
        </w:rPr>
        <w:t>Brown joins Expand Energy following a successful tenure as President, Chief Executive Officer and member of the Board of Directors of Chord Energy (NASDAQ: CHRD). Under his leadership, Chord successfully executed a strategic portfolio transformation that created significant shareholder value. A seasoned energy executive with extensive experience across upstream and midstream operations, Brown spent nearly 20 years with Anadarko Petroleum, where he held leadership roles spanning international and deepwater development, as well as U.S. onshore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383838"/>
          <w:sz w:val="20"/>
        </w:rPr>
      </w:pPr>
      <w:r>
        <w:rPr>
          <w:rFonts w:ascii="Times New Roman;Times;Serif" w:hAnsi="Times New Roman;Times;Serif"/>
          <w:b w:val="false"/>
          <w:i w:val="false"/>
          <w:caps w:val="false"/>
          <w:smallCaps w:val="false"/>
          <w:color w:val="383838"/>
          <w:sz w:val="20"/>
        </w:rPr>
        <w:t>Brown’s appointment follows a comprehensive search led by Expand Energy’s Board with the assistance of a leading search firm, evaluating both internal and external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383838"/>
          <w:sz w:val="20"/>
        </w:rPr>
      </w:pPr>
      <w:r>
        <w:rPr>
          <w:rFonts w:ascii="Times New Roman;Times;Serif" w:hAnsi="Times New Roman;Times;Serif"/>
          <w:b w:val="false"/>
          <w:i w:val="false"/>
          <w:caps w:val="false"/>
          <w:smallCaps w:val="false"/>
          <w:color w:val="383838"/>
          <w:sz w:val="20"/>
        </w:rPr>
        <w:t>About Expand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383838"/>
          <w:sz w:val="20"/>
        </w:rPr>
      </w:pPr>
      <w:r>
        <w:rPr>
          <w:rFonts w:ascii="Times New Roman;Times;Serif" w:hAnsi="Times New Roman;Times;Serif"/>
          <w:b w:val="false"/>
          <w:i w:val="false"/>
          <w:caps w:val="false"/>
          <w:smallCaps w:val="false"/>
          <w:color w:val="383838"/>
          <w:sz w:val="20"/>
        </w:rPr>
        <w:t>Expand Energy Corporation (NASDAQ: EXE) is North America’s leading integrated natural gas company reaching customers from coast to coast across the U.S. and Canada. As the largest natural gas producer in the U.S., we are powered by innovative employees committed to expanding America’s energy reach to fuel a more affordable, reliable, lower carbon future.</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28" w:type="dxa"/>
          <w:left w:w="0" w:type="dxa"/>
          <w:bottom w:w="0" w:type="dxa"/>
          <w:right w:w="0" w:type="dxa"/>
        </w:tblCellMar>
      </w:tblPr>
      <w:tblGrid>
        <w:gridCol w:w="2105"/>
        <w:gridCol w:w="2240"/>
        <w:gridCol w:w="3200"/>
      </w:tblGrid>
      <w:tr>
        <w:trPr/>
        <w:tc>
          <w:tcPr>
            <w:tcW w:w="2105" w:type="dxa"/>
            <w:tcBorders>
              <w:top w:val="single" w:sz="8" w:space="0" w:color="000000"/>
            </w:tcBorders>
            <w:vAlign w:val="center"/>
          </w:tcPr>
          <w:p>
            <w:pPr>
              <w:pStyle w:val="TableContents"/>
              <w:bidi w:val="0"/>
              <w:spacing w:before="0" w:after="283"/>
              <w:jc w:val="both"/>
              <w:rPr/>
            </w:pPr>
            <w:r>
              <w:rPr/>
              <w:t> </w:t>
            </w:r>
          </w:p>
        </w:tc>
        <w:tc>
          <w:tcPr>
            <w:tcW w:w="2240" w:type="dxa"/>
            <w:tcBorders>
              <w:top w:val="single" w:sz="8" w:space="0" w:color="000000"/>
            </w:tcBorders>
            <w:vAlign w:val="center"/>
          </w:tcPr>
          <w:p>
            <w:pPr>
              <w:pStyle w:val="TableContents"/>
              <w:bidi w:val="0"/>
              <w:spacing w:before="0" w:after="283"/>
              <w:jc w:val="both"/>
              <w:rPr/>
            </w:pPr>
            <w:r>
              <w:rPr/>
              <w:t> </w:t>
            </w:r>
          </w:p>
        </w:tc>
        <w:tc>
          <w:tcPr>
            <w:tcW w:w="3200" w:type="dxa"/>
            <w:tcBorders>
              <w:top w:val="single" w:sz="8" w:space="0" w:color="000000"/>
            </w:tcBorders>
            <w:vAlign w:val="center"/>
          </w:tcPr>
          <w:p>
            <w:pPr>
              <w:pStyle w:val="TableContents"/>
              <w:bidi w:val="0"/>
              <w:spacing w:before="0" w:after="283"/>
              <w:jc w:val="both"/>
              <w:rPr/>
            </w:pPr>
            <w:r>
              <w:rPr/>
              <w:t> </w:t>
            </w:r>
          </w:p>
        </w:tc>
      </w:tr>
      <w:tr>
        <w:trPr/>
        <w:tc>
          <w:tcPr>
            <w:tcW w:w="2105" w:type="dxa"/>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 CONTACT:</w:t>
            </w:r>
          </w:p>
        </w:tc>
        <w:tc>
          <w:tcPr>
            <w:tcW w:w="2240" w:type="dxa"/>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 CONTACT:</w:t>
            </w:r>
          </w:p>
        </w:tc>
        <w:tc>
          <w:tcPr>
            <w:tcW w:w="3200" w:type="dxa"/>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EXPAND ENERGY CORPORATION</w:t>
            </w:r>
          </w:p>
        </w:tc>
      </w:tr>
      <w:tr>
        <w:trPr/>
        <w:tc>
          <w:tcPr>
            <w:tcW w:w="2105" w:type="dxa"/>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Brittany Raiford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 935-8870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ir@expandenergy.com</w:t>
            </w:r>
          </w:p>
        </w:tc>
        <w:tc>
          <w:tcPr>
            <w:tcW w:w="2240" w:type="dxa"/>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Meghan Macdonald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 443-6419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media@expandenergy.com</w:t>
            </w:r>
          </w:p>
        </w:tc>
        <w:tc>
          <w:tcPr>
            <w:tcW w:w="3200" w:type="dxa"/>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Energy Drive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 TX 77389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86130" cy="2012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6130" cy="20129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383838"/>
          <w:sz w:val="20"/>
        </w:rPr>
      </w:pPr>
      <w:r>
        <w:rPr>
          <w:rFonts w:ascii="Times New Roman;Times;Serif" w:hAnsi="Times New Roman;Times;Serif"/>
          <w:b/>
          <w:i w:val="false"/>
          <w:caps w:val="false"/>
          <w:smallCaps w:val="false"/>
          <w:color w:val="383838"/>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383838"/>
          <w:sz w:val="20"/>
        </w:rPr>
      </w:pPr>
      <w:r>
        <w:rPr>
          <w:rFonts w:ascii="Times New Roman;Times;Serif" w:hAnsi="Times New Roman;Times;Serif"/>
          <w:b w:val="false"/>
          <w:i w:val="false"/>
          <w:caps w:val="false"/>
          <w:smallCaps w:val="false"/>
          <w:color w:val="383838"/>
          <w:sz w:val="20"/>
        </w:rPr>
        <w:t>This release includes “forward-looking statements” within the meaning of Section 27A of the Securities Act of 1933, as amended, and Section 21E of the Securities Exchange Act of 1934, as amended. Forward-looking statements include, but are not limited to, statements reflecting expectations, intentions, assumptions or beliefs about future events and other statements that do not relate strictly to historical or current facts.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 The absence of such words or expressions does not necessarily mean the statements are not forward-looking. 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are described under Risk Factors in Item 1A of Part I of our Annual Report on Form 10-K, Quarterly Reports on Form 10-Q and other documents filed with the U.S. Securities and Exchange Commission (“SEC”). For a discussion of these risks, uncertainties and assumptions, investors are urged to refer to the Company’s filings with the SEC that are available through the Company’s website at www.expandenergy.com or through EDGAR at www.sec.gov. We caution you not to place undue reliance on the forward-looking statements contained in this news release, which speak only as of the date of this release, and we undertake no obligation and have no intention to update any forward-looking statement, except as required by law. We urge you to carefully review and consider the disclosures in this release and our filings with the SEC that attempt to advise interested parties of the risks and other factors that may affect our business. All forward-looking statements attributable to us are expressly qualified in their entirety by this 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2473</Words>
  <Characters>13643</Characters>
  <CharactersWithSpaces>16130</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